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E5" w:rsidRPr="00964BE5" w:rsidRDefault="00964BE5" w:rsidP="00964BE5">
      <w:pPr>
        <w:shd w:val="clear" w:color="auto" w:fill="FFFFFF"/>
        <w:spacing w:after="0" w:line="840" w:lineRule="atLeast"/>
        <w:outlineLvl w:val="0"/>
        <w:rPr>
          <w:rFonts w:ascii="Arial" w:eastAsia="Times New Roman" w:hAnsi="Arial" w:cs="Arial"/>
          <w:b/>
          <w:bCs/>
          <w:i/>
          <w:iCs/>
          <w:color w:val="0A0A0B"/>
          <w:kern w:val="36"/>
          <w:sz w:val="72"/>
          <w:szCs w:val="72"/>
          <w:lang w:eastAsia="ru-RU"/>
        </w:rPr>
      </w:pPr>
      <w:r w:rsidRPr="00964BE5">
        <w:rPr>
          <w:rFonts w:ascii="Arial" w:eastAsia="Times New Roman" w:hAnsi="Arial" w:cs="Arial"/>
          <w:b/>
          <w:bCs/>
          <w:i/>
          <w:iCs/>
          <w:color w:val="0A0A0B"/>
          <w:kern w:val="36"/>
          <w:sz w:val="72"/>
          <w:szCs w:val="72"/>
          <w:lang w:eastAsia="ru-RU"/>
        </w:rPr>
        <w:t>Какие меры принимает государство в 2025 году для борьбы с мошенниками</w:t>
      </w:r>
    </w:p>
    <w:p w:rsidR="00964BE5" w:rsidRPr="00964BE5" w:rsidRDefault="00964BE5" w:rsidP="00964BE5">
      <w:pPr>
        <w:shd w:val="clear" w:color="auto" w:fill="FFFFFF"/>
        <w:spacing w:after="0" w:line="480" w:lineRule="atLeast"/>
        <w:outlineLvl w:val="2"/>
        <w:rPr>
          <w:rFonts w:ascii="Arial" w:eastAsia="Times New Roman" w:hAnsi="Arial" w:cs="Arial"/>
          <w:b/>
          <w:bCs/>
          <w:color w:val="0A0A0B"/>
          <w:sz w:val="42"/>
          <w:szCs w:val="42"/>
          <w:lang w:eastAsia="ru-RU"/>
        </w:rPr>
      </w:pPr>
      <w:r w:rsidRPr="00964BE5">
        <w:rPr>
          <w:rFonts w:ascii="Arial" w:eastAsia="Times New Roman" w:hAnsi="Arial" w:cs="Arial"/>
          <w:b/>
          <w:bCs/>
          <w:color w:val="0A0A0B"/>
          <w:sz w:val="42"/>
          <w:szCs w:val="42"/>
          <w:lang w:eastAsia="ru-RU"/>
        </w:rPr>
        <w:t>Содержание</w:t>
      </w:r>
      <w:bookmarkStart w:id="0" w:name="_GoBack"/>
      <w:bookmarkEnd w:id="0"/>
    </w:p>
    <w:p w:rsidR="00964BE5" w:rsidRPr="00964BE5" w:rsidRDefault="00964BE5" w:rsidP="00964BE5">
      <w:pPr>
        <w:shd w:val="clear" w:color="auto" w:fill="FFFFFF"/>
        <w:spacing w:line="240" w:lineRule="auto"/>
        <w:rPr>
          <w:rFonts w:ascii="Arial" w:eastAsia="Times New Roman" w:hAnsi="Arial" w:cs="Arial"/>
          <w:color w:val="0A0A0B"/>
          <w:sz w:val="24"/>
          <w:szCs w:val="24"/>
          <w:lang w:eastAsia="ru-RU"/>
        </w:rPr>
      </w:pPr>
      <w:hyperlink r:id="rId6" w:anchor="1" w:tgtFrame="_self" w:history="1">
        <w:proofErr w:type="spellStart"/>
        <w:r w:rsidRPr="00964BE5">
          <w:rPr>
            <w:rFonts w:ascii="Helvetica" w:eastAsia="Times New Roman" w:hAnsi="Helvetica" w:cs="Arial"/>
            <w:color w:val="2F67F9"/>
            <w:sz w:val="24"/>
            <w:szCs w:val="24"/>
            <w:u w:val="single"/>
            <w:lang w:eastAsia="ru-RU"/>
          </w:rPr>
          <w:t>Самозапрет</w:t>
        </w:r>
        <w:proofErr w:type="spellEnd"/>
        <w:r w:rsidRPr="00964BE5">
          <w:rPr>
            <w:rFonts w:ascii="Helvetica" w:eastAsia="Times New Roman" w:hAnsi="Helvetica" w:cs="Arial"/>
            <w:color w:val="2F67F9"/>
            <w:sz w:val="24"/>
            <w:szCs w:val="24"/>
            <w:u w:val="single"/>
            <w:lang w:eastAsia="ru-RU"/>
          </w:rPr>
          <w:t xml:space="preserve"> на </w:t>
        </w:r>
        <w:proofErr w:type="spellStart"/>
        <w:r w:rsidRPr="00964BE5">
          <w:rPr>
            <w:rFonts w:ascii="Helvetica" w:eastAsia="Times New Roman" w:hAnsi="Helvetica" w:cs="Arial"/>
            <w:color w:val="2F67F9"/>
            <w:sz w:val="24"/>
            <w:szCs w:val="24"/>
            <w:u w:val="single"/>
            <w:lang w:eastAsia="ru-RU"/>
          </w:rPr>
          <w:t>кредиты</w:t>
        </w:r>
      </w:hyperlink>
      <w:hyperlink r:id="rId7" w:anchor="2" w:tgtFrame="_self" w:history="1">
        <w:r w:rsidRPr="00964BE5">
          <w:rPr>
            <w:rFonts w:ascii="Helvetica" w:eastAsia="Times New Roman" w:hAnsi="Helvetica" w:cs="Arial"/>
            <w:color w:val="2F67F9"/>
            <w:sz w:val="24"/>
            <w:szCs w:val="24"/>
            <w:u w:val="single"/>
            <w:lang w:eastAsia="ru-RU"/>
          </w:rPr>
          <w:t>Период</w:t>
        </w:r>
        <w:proofErr w:type="spellEnd"/>
        <w:r w:rsidRPr="00964BE5">
          <w:rPr>
            <w:rFonts w:ascii="Helvetica" w:eastAsia="Times New Roman" w:hAnsi="Helvetica" w:cs="Arial"/>
            <w:color w:val="2F67F9"/>
            <w:sz w:val="24"/>
            <w:szCs w:val="24"/>
            <w:u w:val="single"/>
            <w:lang w:eastAsia="ru-RU"/>
          </w:rPr>
          <w:t xml:space="preserve"> охлаждения для </w:t>
        </w:r>
        <w:proofErr w:type="spellStart"/>
        <w:r w:rsidRPr="00964BE5">
          <w:rPr>
            <w:rFonts w:ascii="Helvetica" w:eastAsia="Times New Roman" w:hAnsi="Helvetica" w:cs="Arial"/>
            <w:color w:val="2F67F9"/>
            <w:sz w:val="24"/>
            <w:szCs w:val="24"/>
            <w:u w:val="single"/>
            <w:lang w:eastAsia="ru-RU"/>
          </w:rPr>
          <w:t>кредитов</w:t>
        </w:r>
      </w:hyperlink>
      <w:hyperlink r:id="rId8" w:anchor="3" w:tgtFrame="_self" w:history="1">
        <w:r w:rsidRPr="00964BE5">
          <w:rPr>
            <w:rFonts w:ascii="Helvetica" w:eastAsia="Times New Roman" w:hAnsi="Helvetica" w:cs="Arial"/>
            <w:color w:val="2F67F9"/>
            <w:sz w:val="24"/>
            <w:szCs w:val="24"/>
            <w:u w:val="single"/>
            <w:lang w:eastAsia="ru-RU"/>
          </w:rPr>
          <w:t>«Спецкнопка</w:t>
        </w:r>
        <w:proofErr w:type="spellEnd"/>
        <w:r w:rsidRPr="00964BE5">
          <w:rPr>
            <w:rFonts w:ascii="Helvetica" w:eastAsia="Times New Roman" w:hAnsi="Helvetica" w:cs="Arial"/>
            <w:color w:val="2F67F9"/>
            <w:sz w:val="24"/>
            <w:szCs w:val="24"/>
            <w:u w:val="single"/>
            <w:lang w:eastAsia="ru-RU"/>
          </w:rPr>
          <w:t xml:space="preserve">» для жалоб в банковском </w:t>
        </w:r>
        <w:proofErr w:type="spellStart"/>
        <w:r w:rsidRPr="00964BE5">
          <w:rPr>
            <w:rFonts w:ascii="Helvetica" w:eastAsia="Times New Roman" w:hAnsi="Helvetica" w:cs="Arial"/>
            <w:color w:val="2F67F9"/>
            <w:sz w:val="24"/>
            <w:szCs w:val="24"/>
            <w:u w:val="single"/>
            <w:lang w:eastAsia="ru-RU"/>
          </w:rPr>
          <w:t>приложении</w:t>
        </w:r>
      </w:hyperlink>
      <w:hyperlink r:id="rId9" w:anchor="4" w:tgtFrame="_self" w:history="1">
        <w:r w:rsidRPr="00964BE5">
          <w:rPr>
            <w:rFonts w:ascii="Helvetica" w:eastAsia="Times New Roman" w:hAnsi="Helvetica" w:cs="Arial"/>
            <w:color w:val="2F67F9"/>
            <w:sz w:val="24"/>
            <w:szCs w:val="24"/>
            <w:u w:val="single"/>
            <w:lang w:eastAsia="ru-RU"/>
          </w:rPr>
          <w:t>Прием</w:t>
        </w:r>
        <w:proofErr w:type="spellEnd"/>
        <w:r w:rsidRPr="00964BE5">
          <w:rPr>
            <w:rFonts w:ascii="Helvetica" w:eastAsia="Times New Roman" w:hAnsi="Helvetica" w:cs="Arial"/>
            <w:color w:val="2F67F9"/>
            <w:sz w:val="24"/>
            <w:szCs w:val="24"/>
            <w:u w:val="single"/>
            <w:lang w:eastAsia="ru-RU"/>
          </w:rPr>
          <w:t xml:space="preserve"> банками обращений о внесении средств на </w:t>
        </w:r>
        <w:proofErr w:type="spellStart"/>
        <w:r w:rsidRPr="00964BE5">
          <w:rPr>
            <w:rFonts w:ascii="Helvetica" w:eastAsia="Times New Roman" w:hAnsi="Helvetica" w:cs="Arial"/>
            <w:color w:val="2F67F9"/>
            <w:sz w:val="24"/>
            <w:szCs w:val="24"/>
            <w:u w:val="single"/>
            <w:lang w:eastAsia="ru-RU"/>
          </w:rPr>
          <w:t>токенизированные</w:t>
        </w:r>
        <w:proofErr w:type="spellEnd"/>
        <w:r w:rsidRPr="00964BE5">
          <w:rPr>
            <w:rFonts w:ascii="Helvetica" w:eastAsia="Times New Roman" w:hAnsi="Helvetica" w:cs="Arial"/>
            <w:color w:val="2F67F9"/>
            <w:sz w:val="24"/>
            <w:szCs w:val="24"/>
            <w:u w:val="single"/>
            <w:lang w:eastAsia="ru-RU"/>
          </w:rPr>
          <w:t xml:space="preserve"> </w:t>
        </w:r>
        <w:proofErr w:type="spellStart"/>
        <w:r w:rsidRPr="00964BE5">
          <w:rPr>
            <w:rFonts w:ascii="Helvetica" w:eastAsia="Times New Roman" w:hAnsi="Helvetica" w:cs="Arial"/>
            <w:color w:val="2F67F9"/>
            <w:sz w:val="24"/>
            <w:szCs w:val="24"/>
            <w:u w:val="single"/>
            <w:lang w:eastAsia="ru-RU"/>
          </w:rPr>
          <w:t>карты</w:t>
        </w:r>
      </w:hyperlink>
      <w:hyperlink r:id="rId10" w:anchor="5" w:tgtFrame="_self" w:history="1">
        <w:r w:rsidRPr="00964BE5">
          <w:rPr>
            <w:rFonts w:ascii="Helvetica" w:eastAsia="Times New Roman" w:hAnsi="Helvetica" w:cs="Arial"/>
            <w:color w:val="2F67F9"/>
            <w:sz w:val="24"/>
            <w:szCs w:val="24"/>
            <w:u w:val="single"/>
            <w:lang w:eastAsia="ru-RU"/>
          </w:rPr>
          <w:t>Уведомление</w:t>
        </w:r>
        <w:proofErr w:type="spellEnd"/>
        <w:r w:rsidRPr="00964BE5">
          <w:rPr>
            <w:rFonts w:ascii="Helvetica" w:eastAsia="Times New Roman" w:hAnsi="Helvetica" w:cs="Arial"/>
            <w:color w:val="2F67F9"/>
            <w:sz w:val="24"/>
            <w:szCs w:val="24"/>
            <w:u w:val="single"/>
            <w:lang w:eastAsia="ru-RU"/>
          </w:rPr>
          <w:t xml:space="preserve"> родителей о выдаче карты </w:t>
        </w:r>
        <w:proofErr w:type="spellStart"/>
        <w:r w:rsidRPr="00964BE5">
          <w:rPr>
            <w:rFonts w:ascii="Helvetica" w:eastAsia="Times New Roman" w:hAnsi="Helvetica" w:cs="Arial"/>
            <w:color w:val="2F67F9"/>
            <w:sz w:val="24"/>
            <w:szCs w:val="24"/>
            <w:u w:val="single"/>
            <w:lang w:eastAsia="ru-RU"/>
          </w:rPr>
          <w:t>ребенку</w:t>
        </w:r>
      </w:hyperlink>
      <w:hyperlink r:id="rId11" w:anchor="6" w:tgtFrame="_self" w:history="1">
        <w:r w:rsidRPr="00964BE5">
          <w:rPr>
            <w:rFonts w:ascii="Helvetica" w:eastAsia="Times New Roman" w:hAnsi="Helvetica" w:cs="Arial"/>
            <w:color w:val="2F67F9"/>
            <w:sz w:val="24"/>
            <w:szCs w:val="24"/>
            <w:u w:val="single"/>
            <w:lang w:eastAsia="ru-RU"/>
          </w:rPr>
          <w:t>Единая</w:t>
        </w:r>
        <w:proofErr w:type="spellEnd"/>
        <w:r w:rsidRPr="00964BE5">
          <w:rPr>
            <w:rFonts w:ascii="Helvetica" w:eastAsia="Times New Roman" w:hAnsi="Helvetica" w:cs="Arial"/>
            <w:color w:val="2F67F9"/>
            <w:sz w:val="24"/>
            <w:szCs w:val="24"/>
            <w:u w:val="single"/>
            <w:lang w:eastAsia="ru-RU"/>
          </w:rPr>
          <w:t xml:space="preserve"> база телефонных мошенников</w:t>
        </w:r>
      </w:hyperlink>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В 2024 году, по </w:t>
      </w:r>
      <w:hyperlink r:id="rId12" w:tgtFrame="_blank" w:history="1">
        <w:r w:rsidRPr="00964BE5">
          <w:rPr>
            <w:rFonts w:ascii="Arial" w:eastAsia="Times New Roman" w:hAnsi="Arial" w:cs="Arial"/>
            <w:color w:val="2F67F9"/>
            <w:sz w:val="24"/>
            <w:szCs w:val="24"/>
            <w:u w:val="single"/>
            <w:lang w:eastAsia="ru-RU"/>
          </w:rPr>
          <w:t>данным</w:t>
        </w:r>
      </w:hyperlink>
      <w:r w:rsidRPr="00964BE5">
        <w:rPr>
          <w:rFonts w:ascii="Helvetica" w:eastAsia="Times New Roman" w:hAnsi="Helvetica" w:cs="Arial"/>
          <w:color w:val="0A0A0B"/>
          <w:sz w:val="27"/>
          <w:szCs w:val="27"/>
          <w:lang w:eastAsia="ru-RU"/>
        </w:rPr>
        <w:t> Банка России, количество мошеннических операций со счетами россиян выросло на 74% по сравнению с 2023 годом. Одних только </w:t>
      </w:r>
      <w:hyperlink r:id="rId13" w:history="1">
        <w:r w:rsidRPr="00964BE5">
          <w:rPr>
            <w:rFonts w:ascii="Arial" w:eastAsia="Times New Roman" w:hAnsi="Arial" w:cs="Arial"/>
            <w:color w:val="2F67F9"/>
            <w:sz w:val="24"/>
            <w:szCs w:val="24"/>
            <w:u w:val="single"/>
            <w:lang w:eastAsia="ru-RU"/>
          </w:rPr>
          <w:t>кредитов</w:t>
        </w:r>
      </w:hyperlink>
      <w:r w:rsidRPr="00964BE5">
        <w:rPr>
          <w:rFonts w:ascii="Helvetica" w:eastAsia="Times New Roman" w:hAnsi="Helvetica" w:cs="Arial"/>
          <w:color w:val="0A0A0B"/>
          <w:sz w:val="27"/>
          <w:szCs w:val="27"/>
          <w:lang w:eastAsia="ru-RU"/>
        </w:rPr>
        <w:t xml:space="preserve"> на чужие имена мошенники взяли на сумму более 12,8 млрд ₽. Чтобы исправить ситуацию, в 2025 году государство вводит ряд новых мер: </w:t>
      </w:r>
      <w:proofErr w:type="spellStart"/>
      <w:r w:rsidRPr="00964BE5">
        <w:rPr>
          <w:rFonts w:ascii="Helvetica" w:eastAsia="Times New Roman" w:hAnsi="Helvetica" w:cs="Arial"/>
          <w:color w:val="0A0A0B"/>
          <w:sz w:val="27"/>
          <w:szCs w:val="27"/>
          <w:lang w:eastAsia="ru-RU"/>
        </w:rPr>
        <w:t>самозапрет</w:t>
      </w:r>
      <w:proofErr w:type="spellEnd"/>
      <w:r w:rsidRPr="00964BE5">
        <w:rPr>
          <w:rFonts w:ascii="Helvetica" w:eastAsia="Times New Roman" w:hAnsi="Helvetica" w:cs="Arial"/>
          <w:color w:val="0A0A0B"/>
          <w:sz w:val="27"/>
          <w:szCs w:val="27"/>
          <w:lang w:eastAsia="ru-RU"/>
        </w:rPr>
        <w:t xml:space="preserve"> на кредиты, период охлаждения, создание единой базы голосов мошенников и еще ряд инициатив.</w:t>
      </w:r>
    </w:p>
    <w:p w:rsidR="00964BE5" w:rsidRPr="00964BE5" w:rsidRDefault="00964BE5" w:rsidP="00964BE5">
      <w:pPr>
        <w:shd w:val="clear" w:color="auto" w:fill="FFFFFF"/>
        <w:spacing w:after="0" w:line="240" w:lineRule="auto"/>
        <w:rPr>
          <w:rFonts w:ascii="Arial" w:eastAsia="Times New Roman" w:hAnsi="Arial" w:cs="Arial"/>
          <w:color w:val="0A0A0B"/>
          <w:sz w:val="24"/>
          <w:szCs w:val="24"/>
          <w:lang w:eastAsia="ru-RU"/>
        </w:rPr>
      </w:pPr>
      <w:r>
        <w:rPr>
          <w:rFonts w:ascii="Arial" w:eastAsia="Times New Roman" w:hAnsi="Arial" w:cs="Arial"/>
          <w:noProof/>
          <w:color w:val="0A0A0B"/>
          <w:sz w:val="24"/>
          <w:szCs w:val="24"/>
          <w:lang w:eastAsia="ru-RU"/>
        </w:rPr>
        <w:drawing>
          <wp:inline distT="0" distB="0" distL="0" distR="0">
            <wp:extent cx="5048250" cy="2933700"/>
            <wp:effectExtent l="0" t="0" r="0" b="0"/>
            <wp:docPr id="2" name="Рисунок 2" descr="https://cdn.gpb.ru/upload/files/iblock/491/fl20gd2adrnm9yc0cwmm6inx330kc01i/x1_titul_2432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gpb.ru/upload/files/iblock/491/fl20gd2adrnm9yc0cwmm6inx330kc01i/x1_titul_2432x8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2933700"/>
                    </a:xfrm>
                    <a:prstGeom prst="rect">
                      <a:avLst/>
                    </a:prstGeom>
                    <a:noFill/>
                    <a:ln>
                      <a:noFill/>
                    </a:ln>
                  </pic:spPr>
                </pic:pic>
              </a:graphicData>
            </a:graphic>
          </wp:inline>
        </w:drawing>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proofErr w:type="spellStart"/>
      <w:r w:rsidRPr="00964BE5">
        <w:rPr>
          <w:rFonts w:ascii="Arial" w:eastAsia="Times New Roman" w:hAnsi="Arial" w:cs="Arial"/>
          <w:b/>
          <w:bCs/>
          <w:color w:val="0A0A0B"/>
          <w:sz w:val="66"/>
          <w:szCs w:val="66"/>
          <w:lang w:eastAsia="ru-RU"/>
        </w:rPr>
        <w:t>Самозапрет</w:t>
      </w:r>
      <w:proofErr w:type="spellEnd"/>
      <w:r w:rsidRPr="00964BE5">
        <w:rPr>
          <w:rFonts w:ascii="Arial" w:eastAsia="Times New Roman" w:hAnsi="Arial" w:cs="Arial"/>
          <w:b/>
          <w:bCs/>
          <w:color w:val="0A0A0B"/>
          <w:sz w:val="66"/>
          <w:szCs w:val="66"/>
          <w:lang w:eastAsia="ru-RU"/>
        </w:rPr>
        <w:t xml:space="preserve"> на кредиты</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С 1 марта 2025 года любой россиянин вправе установить для себя запрет на получение кредитов, займов и кредитных карт (</w:t>
      </w:r>
      <w:hyperlink r:id="rId15" w:tgtFrame="_blank" w:history="1">
        <w:r w:rsidRPr="00964BE5">
          <w:rPr>
            <w:rFonts w:ascii="Arial" w:eastAsia="Times New Roman" w:hAnsi="Arial" w:cs="Arial"/>
            <w:color w:val="2F67F9"/>
            <w:sz w:val="24"/>
            <w:szCs w:val="24"/>
            <w:u w:val="single"/>
            <w:lang w:eastAsia="ru-RU"/>
          </w:rPr>
          <w:t xml:space="preserve">закон № 31-ФЗ </w:t>
        </w:r>
        <w:r w:rsidRPr="00964BE5">
          <w:rPr>
            <w:rFonts w:ascii="Arial" w:eastAsia="Times New Roman" w:hAnsi="Arial" w:cs="Arial"/>
            <w:color w:val="2F67F9"/>
            <w:sz w:val="24"/>
            <w:szCs w:val="24"/>
            <w:u w:val="single"/>
            <w:lang w:eastAsia="ru-RU"/>
          </w:rPr>
          <w:lastRenderedPageBreak/>
          <w:t>от 26.02.2024</w:t>
        </w:r>
      </w:hyperlink>
      <w:r w:rsidRPr="00964BE5">
        <w:rPr>
          <w:rFonts w:ascii="Helvetica" w:eastAsia="Times New Roman" w:hAnsi="Helvetica" w:cs="Arial"/>
          <w:color w:val="0A0A0B"/>
          <w:sz w:val="27"/>
          <w:szCs w:val="27"/>
          <w:lang w:eastAsia="ru-RU"/>
        </w:rPr>
        <w:t xml:space="preserve">) — это исключит ситуацию, когда средства берут на имя человека без его </w:t>
      </w:r>
      <w:proofErr w:type="gramStart"/>
      <w:r w:rsidRPr="00964BE5">
        <w:rPr>
          <w:rFonts w:ascii="Helvetica" w:eastAsia="Times New Roman" w:hAnsi="Helvetica" w:cs="Arial"/>
          <w:color w:val="0A0A0B"/>
          <w:sz w:val="27"/>
          <w:szCs w:val="27"/>
          <w:lang w:eastAsia="ru-RU"/>
        </w:rPr>
        <w:t>ведома</w:t>
      </w:r>
      <w:proofErr w:type="gramEnd"/>
      <w:r w:rsidRPr="00964BE5">
        <w:rPr>
          <w:rFonts w:ascii="Helvetica" w:eastAsia="Times New Roman" w:hAnsi="Helvetica" w:cs="Arial"/>
          <w:color w:val="0A0A0B"/>
          <w:sz w:val="27"/>
          <w:szCs w:val="27"/>
          <w:lang w:eastAsia="ru-RU"/>
        </w:rPr>
        <w:t xml:space="preserve">. Активировать </w:t>
      </w:r>
      <w:proofErr w:type="spellStart"/>
      <w:r w:rsidRPr="00964BE5">
        <w:rPr>
          <w:rFonts w:ascii="Helvetica" w:eastAsia="Times New Roman" w:hAnsi="Helvetica" w:cs="Arial"/>
          <w:color w:val="0A0A0B"/>
          <w:sz w:val="27"/>
          <w:szCs w:val="27"/>
          <w:lang w:eastAsia="ru-RU"/>
        </w:rPr>
        <w:t>самозапрет</w:t>
      </w:r>
      <w:proofErr w:type="spellEnd"/>
      <w:r w:rsidRPr="00964BE5">
        <w:rPr>
          <w:rFonts w:ascii="Helvetica" w:eastAsia="Times New Roman" w:hAnsi="Helvetica" w:cs="Arial"/>
          <w:color w:val="0A0A0B"/>
          <w:sz w:val="27"/>
          <w:szCs w:val="27"/>
          <w:lang w:eastAsia="ru-RU"/>
        </w:rPr>
        <w:t xml:space="preserve"> или снять его можно через </w:t>
      </w:r>
      <w:proofErr w:type="spellStart"/>
      <w:r w:rsidRPr="00964BE5">
        <w:rPr>
          <w:rFonts w:ascii="Helvetica" w:eastAsia="Times New Roman" w:hAnsi="Helvetica" w:cs="Arial"/>
          <w:color w:val="0A0A0B"/>
          <w:sz w:val="27"/>
          <w:szCs w:val="27"/>
          <w:lang w:eastAsia="ru-RU"/>
        </w:rPr>
        <w:t>Госуслуги</w:t>
      </w:r>
      <w:proofErr w:type="spellEnd"/>
      <w:r w:rsidRPr="00964BE5">
        <w:rPr>
          <w:rFonts w:ascii="Helvetica" w:eastAsia="Times New Roman" w:hAnsi="Helvetica" w:cs="Arial"/>
          <w:color w:val="0A0A0B"/>
          <w:sz w:val="27"/>
          <w:szCs w:val="27"/>
          <w:lang w:eastAsia="ru-RU"/>
        </w:rPr>
        <w:t>. С 1 сентября 2025 года такая возможность появится и в МФЦ.</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proofErr w:type="spellStart"/>
      <w:r w:rsidRPr="00964BE5">
        <w:rPr>
          <w:rFonts w:ascii="Helvetica" w:eastAsia="Times New Roman" w:hAnsi="Helvetica" w:cs="Arial"/>
          <w:color w:val="0A0A0B"/>
          <w:sz w:val="27"/>
          <w:szCs w:val="27"/>
          <w:lang w:eastAsia="ru-RU"/>
        </w:rPr>
        <w:t>Самозапрет</w:t>
      </w:r>
      <w:proofErr w:type="spellEnd"/>
      <w:r w:rsidRPr="00964BE5">
        <w:rPr>
          <w:rFonts w:ascii="Helvetica" w:eastAsia="Times New Roman" w:hAnsi="Helvetica" w:cs="Arial"/>
          <w:color w:val="0A0A0B"/>
          <w:sz w:val="27"/>
          <w:szCs w:val="27"/>
          <w:lang w:eastAsia="ru-RU"/>
        </w:rPr>
        <w:t xml:space="preserve"> можно установить не на все виды кредитов. Исключения: автокредиты под залог авто, ипотека, кредиты на образование.</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 xml:space="preserve">Кроме выдачи кредитов, ограничения можно наложить и на другие операции — например, на переводы. Или ограничить лимит до желаемого размера. Подробнее про процедуру </w:t>
      </w:r>
      <w:proofErr w:type="spellStart"/>
      <w:r w:rsidRPr="00964BE5">
        <w:rPr>
          <w:rFonts w:ascii="Helvetica" w:eastAsia="Times New Roman" w:hAnsi="Helvetica" w:cs="Arial"/>
          <w:color w:val="0A0A0B"/>
          <w:sz w:val="27"/>
          <w:szCs w:val="27"/>
          <w:lang w:eastAsia="ru-RU"/>
        </w:rPr>
        <w:t>самозапрета</w:t>
      </w:r>
      <w:proofErr w:type="spellEnd"/>
      <w:r w:rsidRPr="00964BE5">
        <w:rPr>
          <w:rFonts w:ascii="Helvetica" w:eastAsia="Times New Roman" w:hAnsi="Helvetica" w:cs="Arial"/>
          <w:color w:val="0A0A0B"/>
          <w:sz w:val="27"/>
          <w:szCs w:val="27"/>
          <w:lang w:eastAsia="ru-RU"/>
        </w:rPr>
        <w:t xml:space="preserve"> рассказываем </w:t>
      </w:r>
      <w:hyperlink r:id="rId16" w:history="1">
        <w:r w:rsidRPr="00964BE5">
          <w:rPr>
            <w:rFonts w:ascii="Arial" w:eastAsia="Times New Roman" w:hAnsi="Arial" w:cs="Arial"/>
            <w:color w:val="2F67F9"/>
            <w:sz w:val="24"/>
            <w:szCs w:val="24"/>
            <w:u w:val="single"/>
            <w:lang w:eastAsia="ru-RU"/>
          </w:rPr>
          <w:t>здесь</w:t>
        </w:r>
      </w:hyperlink>
      <w:r w:rsidRPr="00964BE5">
        <w:rPr>
          <w:rFonts w:ascii="Helvetica" w:eastAsia="Times New Roman" w:hAnsi="Helvetica" w:cs="Arial"/>
          <w:color w:val="0A0A0B"/>
          <w:sz w:val="27"/>
          <w:szCs w:val="27"/>
          <w:lang w:eastAsia="ru-RU"/>
        </w:rPr>
        <w:t>.</w:t>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r w:rsidRPr="00964BE5">
        <w:rPr>
          <w:rFonts w:ascii="Arial" w:eastAsia="Times New Roman" w:hAnsi="Arial" w:cs="Arial"/>
          <w:b/>
          <w:bCs/>
          <w:color w:val="0A0A0B"/>
          <w:sz w:val="66"/>
          <w:szCs w:val="66"/>
          <w:lang w:eastAsia="ru-RU"/>
        </w:rPr>
        <w:t>Период охлаждения для кредитов</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Мошенники настолько умело манипулируют жертвами, запугивают или шантажируют, что те добровольно берут кредиты и отдают все средства обманщика</w:t>
      </w:r>
      <w:proofErr w:type="gramStart"/>
      <w:r w:rsidRPr="00964BE5">
        <w:rPr>
          <w:rFonts w:ascii="Helvetica" w:eastAsia="Times New Roman" w:hAnsi="Helvetica" w:cs="Arial"/>
          <w:color w:val="0A0A0B"/>
          <w:sz w:val="27"/>
          <w:szCs w:val="27"/>
          <w:lang w:eastAsia="ru-RU"/>
        </w:rPr>
        <w:t xml:space="preserve"> .</w:t>
      </w:r>
      <w:proofErr w:type="gramEnd"/>
      <w:r w:rsidRPr="00964BE5">
        <w:rPr>
          <w:rFonts w:ascii="Helvetica" w:eastAsia="Times New Roman" w:hAnsi="Helvetica" w:cs="Arial"/>
          <w:color w:val="0A0A0B"/>
          <w:sz w:val="27"/>
          <w:szCs w:val="27"/>
          <w:lang w:eastAsia="ru-RU"/>
        </w:rPr>
        <w:t xml:space="preserve"> Чтобы дать клиентам возможность опомниться или проконсультироваться с близкими, которые объяснят, что действует мошенник, </w:t>
      </w:r>
      <w:hyperlink r:id="rId17" w:tgtFrame="_blank" w:history="1">
        <w:r w:rsidRPr="00964BE5">
          <w:rPr>
            <w:rFonts w:ascii="Arial" w:eastAsia="Times New Roman" w:hAnsi="Arial" w:cs="Arial"/>
            <w:color w:val="2F67F9"/>
            <w:sz w:val="24"/>
            <w:szCs w:val="24"/>
            <w:u w:val="single"/>
            <w:lang w:eastAsia="ru-RU"/>
          </w:rPr>
          <w:t>закон № 9-ФЗ от 13.02.2025</w:t>
        </w:r>
      </w:hyperlink>
      <w:r w:rsidRPr="00964BE5">
        <w:rPr>
          <w:rFonts w:ascii="Helvetica" w:eastAsia="Times New Roman" w:hAnsi="Helvetica" w:cs="Arial"/>
          <w:color w:val="0A0A0B"/>
          <w:sz w:val="27"/>
          <w:szCs w:val="27"/>
          <w:lang w:eastAsia="ru-RU"/>
        </w:rPr>
        <w:t> вводит так называемый «период охлаждения».</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Теперь, если гражданин обратится в банк или МФО за кредитом или займом от 50 000 до 200 000 ₽, то деньги выдадут не ранее чем через 4 часа после одобрения заявки и заключения договора с банком. А если сумма больше, то через 48 часов.</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Если сумма кредита — до 50 000 ₽, а также в случае с ипотекой, автокредитом, кредитом на образование, на рефинансирование или при оформлении покупок в рассрочку (кроме сделок в интернете), то для них период охлаждения не работает.</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Нововведение вступит в силу с 1 сентября 2025 года.</w:t>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r w:rsidRPr="00964BE5">
        <w:rPr>
          <w:rFonts w:ascii="Arial" w:eastAsia="Times New Roman" w:hAnsi="Arial" w:cs="Arial"/>
          <w:b/>
          <w:bCs/>
          <w:color w:val="0A0A0B"/>
          <w:sz w:val="66"/>
          <w:szCs w:val="66"/>
          <w:lang w:eastAsia="ru-RU"/>
        </w:rPr>
        <w:t>«</w:t>
      </w:r>
      <w:proofErr w:type="spellStart"/>
      <w:r w:rsidRPr="00964BE5">
        <w:rPr>
          <w:rFonts w:ascii="Arial" w:eastAsia="Times New Roman" w:hAnsi="Arial" w:cs="Arial"/>
          <w:b/>
          <w:bCs/>
          <w:color w:val="0A0A0B"/>
          <w:sz w:val="66"/>
          <w:szCs w:val="66"/>
          <w:lang w:eastAsia="ru-RU"/>
        </w:rPr>
        <w:t>Спецкнопка</w:t>
      </w:r>
      <w:proofErr w:type="spellEnd"/>
      <w:r w:rsidRPr="00964BE5">
        <w:rPr>
          <w:rFonts w:ascii="Arial" w:eastAsia="Times New Roman" w:hAnsi="Arial" w:cs="Arial"/>
          <w:b/>
          <w:bCs/>
          <w:color w:val="0A0A0B"/>
          <w:sz w:val="66"/>
          <w:szCs w:val="66"/>
          <w:lang w:eastAsia="ru-RU"/>
        </w:rPr>
        <w:t>» для жалоб в банковском приложении</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 xml:space="preserve">С 1 октября 2025 года крупные и системно значимые банки должны будут дать возможность клиентам отправлять жалобы на мошенников через </w:t>
      </w:r>
      <w:r w:rsidRPr="00964BE5">
        <w:rPr>
          <w:rFonts w:ascii="Helvetica" w:eastAsia="Times New Roman" w:hAnsi="Helvetica" w:cs="Arial"/>
          <w:color w:val="0A0A0B"/>
          <w:sz w:val="27"/>
          <w:szCs w:val="27"/>
          <w:lang w:eastAsia="ru-RU"/>
        </w:rPr>
        <w:lastRenderedPageBreak/>
        <w:t>приложение. Также банки обязали выдавать клиентам справки о мошеннической операции для последующего обращения в МВД (</w:t>
      </w:r>
      <w:hyperlink r:id="rId18" w:tgtFrame="_blank" w:history="1">
        <w:r w:rsidRPr="00964BE5">
          <w:rPr>
            <w:rFonts w:ascii="Arial" w:eastAsia="Times New Roman" w:hAnsi="Arial" w:cs="Arial"/>
            <w:color w:val="2F67F9"/>
            <w:sz w:val="24"/>
            <w:szCs w:val="24"/>
            <w:u w:val="single"/>
            <w:lang w:eastAsia="ru-RU"/>
          </w:rPr>
          <w:t>Положение №851-П от 30.01.2025</w:t>
        </w:r>
      </w:hyperlink>
      <w:r w:rsidRPr="00964BE5">
        <w:rPr>
          <w:rFonts w:ascii="Helvetica" w:eastAsia="Times New Roman" w:hAnsi="Helvetica" w:cs="Arial"/>
          <w:color w:val="0A0A0B"/>
          <w:sz w:val="27"/>
          <w:szCs w:val="27"/>
          <w:lang w:eastAsia="ru-RU"/>
        </w:rPr>
        <w:t>).</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Сами банки смогут через приложение обращаться к клиентам для подтверждения, что та или иная операция была совершена под воздействием мошенников. Это может потребоваться в случае, если клиент обратился с заявлением в МВД напрямую.</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О том, как защитить свои средства и данные от мошенников и какими схемами пользуются недоброжелатели, всегда можно узнать на сайте</w:t>
      </w:r>
      <w:proofErr w:type="gramStart"/>
      <w:r w:rsidRPr="00964BE5">
        <w:rPr>
          <w:rFonts w:ascii="Helvetica" w:eastAsia="Times New Roman" w:hAnsi="Helvetica" w:cs="Arial"/>
          <w:color w:val="0A0A0B"/>
          <w:sz w:val="27"/>
          <w:szCs w:val="27"/>
          <w:lang w:eastAsia="ru-RU"/>
        </w:rPr>
        <w:t> .</w:t>
      </w:r>
      <w:proofErr w:type="gramEnd"/>
      <w:r w:rsidRPr="00964BE5">
        <w:rPr>
          <w:rFonts w:ascii="Helvetica" w:eastAsia="Times New Roman" w:hAnsi="Helvetica" w:cs="Arial"/>
          <w:color w:val="0A0A0B"/>
          <w:sz w:val="27"/>
          <w:szCs w:val="27"/>
          <w:lang w:eastAsia="ru-RU"/>
        </w:rPr>
        <w:t xml:space="preserve"> Если хотите обезопасить своих близких, поделитесь с ними этой ссылкой.</w:t>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r w:rsidRPr="00964BE5">
        <w:rPr>
          <w:rFonts w:ascii="Arial" w:eastAsia="Times New Roman" w:hAnsi="Arial" w:cs="Arial"/>
          <w:b/>
          <w:bCs/>
          <w:color w:val="0A0A0B"/>
          <w:sz w:val="66"/>
          <w:szCs w:val="66"/>
          <w:lang w:eastAsia="ru-RU"/>
        </w:rPr>
        <w:t>Прием банками обращений о внесении средств на </w:t>
      </w:r>
      <w:proofErr w:type="spellStart"/>
      <w:r w:rsidRPr="00964BE5">
        <w:rPr>
          <w:rFonts w:ascii="Arial" w:eastAsia="Times New Roman" w:hAnsi="Arial" w:cs="Arial"/>
          <w:b/>
          <w:bCs/>
          <w:color w:val="0A0A0B"/>
          <w:sz w:val="66"/>
          <w:szCs w:val="66"/>
          <w:lang w:eastAsia="ru-RU"/>
        </w:rPr>
        <w:t>токенизированные</w:t>
      </w:r>
      <w:proofErr w:type="spellEnd"/>
      <w:r w:rsidRPr="00964BE5">
        <w:rPr>
          <w:rFonts w:ascii="Arial" w:eastAsia="Times New Roman" w:hAnsi="Arial" w:cs="Arial"/>
          <w:b/>
          <w:bCs/>
          <w:color w:val="0A0A0B"/>
          <w:sz w:val="66"/>
          <w:szCs w:val="66"/>
          <w:lang w:eastAsia="ru-RU"/>
        </w:rPr>
        <w:t xml:space="preserve"> карты</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С 1 октября 2025 года, согласно </w:t>
      </w:r>
      <w:hyperlink r:id="rId19" w:tgtFrame="_blank" w:history="1">
        <w:r w:rsidRPr="00964BE5">
          <w:rPr>
            <w:rFonts w:ascii="Arial" w:eastAsia="Times New Roman" w:hAnsi="Arial" w:cs="Arial"/>
            <w:color w:val="2F67F9"/>
            <w:sz w:val="24"/>
            <w:szCs w:val="24"/>
            <w:u w:val="single"/>
            <w:lang w:eastAsia="ru-RU"/>
          </w:rPr>
          <w:t>Положению № 851-П</w:t>
        </w:r>
      </w:hyperlink>
      <w:r w:rsidRPr="00964BE5">
        <w:rPr>
          <w:rFonts w:ascii="Helvetica" w:eastAsia="Times New Roman" w:hAnsi="Helvetica" w:cs="Arial"/>
          <w:color w:val="0A0A0B"/>
          <w:sz w:val="27"/>
          <w:szCs w:val="27"/>
          <w:lang w:eastAsia="ru-RU"/>
        </w:rPr>
        <w:t xml:space="preserve">, Банк России обяжет банки принимать от всех граждан обращения по операциям, совершенным под давлением мошенников — в том числе, речь идет о внесении наличных на счета мошенников через банкоматы с помощью </w:t>
      </w:r>
      <w:proofErr w:type="spellStart"/>
      <w:r w:rsidRPr="00964BE5">
        <w:rPr>
          <w:rFonts w:ascii="Helvetica" w:eastAsia="Times New Roman" w:hAnsi="Helvetica" w:cs="Arial"/>
          <w:color w:val="0A0A0B"/>
          <w:sz w:val="27"/>
          <w:szCs w:val="27"/>
          <w:lang w:eastAsia="ru-RU"/>
        </w:rPr>
        <w:t>токенизированных</w:t>
      </w:r>
      <w:proofErr w:type="spellEnd"/>
      <w:r w:rsidRPr="00964BE5">
        <w:rPr>
          <w:rFonts w:ascii="Helvetica" w:eastAsia="Times New Roman" w:hAnsi="Helvetica" w:cs="Arial"/>
          <w:color w:val="0A0A0B"/>
          <w:sz w:val="27"/>
          <w:szCs w:val="27"/>
          <w:lang w:eastAsia="ru-RU"/>
        </w:rPr>
        <w:t xml:space="preserve"> карт. Не имеет значения, является жертва мошенников клиентом банка, в котором выпущена такая карта, или нет.</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Вывод средств через внесение на </w:t>
      </w:r>
      <w:proofErr w:type="spellStart"/>
      <w:r w:rsidRPr="00964BE5">
        <w:rPr>
          <w:rFonts w:ascii="Helvetica" w:eastAsia="Times New Roman" w:hAnsi="Helvetica" w:cs="Arial"/>
          <w:color w:val="0A0A0B"/>
          <w:sz w:val="27"/>
          <w:szCs w:val="27"/>
          <w:lang w:eastAsia="ru-RU"/>
        </w:rPr>
        <w:t>токенизированные</w:t>
      </w:r>
      <w:proofErr w:type="spellEnd"/>
      <w:r w:rsidRPr="00964BE5">
        <w:rPr>
          <w:rFonts w:ascii="Helvetica" w:eastAsia="Times New Roman" w:hAnsi="Helvetica" w:cs="Arial"/>
          <w:color w:val="0A0A0B"/>
          <w:sz w:val="27"/>
          <w:szCs w:val="27"/>
          <w:lang w:eastAsia="ru-RU"/>
        </w:rPr>
        <w:t xml:space="preserve"> карты — одна из самых популярных мошеннических схем. </w:t>
      </w:r>
      <w:proofErr w:type="spellStart"/>
      <w:r w:rsidRPr="00964BE5">
        <w:rPr>
          <w:rFonts w:ascii="Helvetica" w:eastAsia="Times New Roman" w:hAnsi="Helvetica" w:cs="Arial"/>
          <w:color w:val="0A0A0B"/>
          <w:sz w:val="27"/>
          <w:szCs w:val="27"/>
          <w:lang w:eastAsia="ru-RU"/>
        </w:rPr>
        <w:t>Токенизированные</w:t>
      </w:r>
      <w:proofErr w:type="spellEnd"/>
      <w:r w:rsidRPr="00964BE5">
        <w:rPr>
          <w:rFonts w:ascii="Helvetica" w:eastAsia="Times New Roman" w:hAnsi="Helvetica" w:cs="Arial"/>
          <w:color w:val="0A0A0B"/>
          <w:sz w:val="27"/>
          <w:szCs w:val="27"/>
          <w:lang w:eastAsia="ru-RU"/>
        </w:rPr>
        <w:t xml:space="preserve"> карты создаются в смартфоне в процессе привязки в приложении </w:t>
      </w:r>
      <w:proofErr w:type="spellStart"/>
      <w:r w:rsidRPr="00964BE5">
        <w:rPr>
          <w:rFonts w:ascii="Helvetica" w:eastAsia="Times New Roman" w:hAnsi="Helvetica" w:cs="Arial"/>
          <w:color w:val="0A0A0B"/>
          <w:sz w:val="27"/>
          <w:szCs w:val="27"/>
          <w:lang w:eastAsia="ru-RU"/>
        </w:rPr>
        <w:t>Mir</w:t>
      </w:r>
      <w:proofErr w:type="spellEnd"/>
      <w:r w:rsidRPr="00964BE5">
        <w:rPr>
          <w:rFonts w:ascii="Helvetica" w:eastAsia="Times New Roman" w:hAnsi="Helvetica" w:cs="Arial"/>
          <w:color w:val="0A0A0B"/>
          <w:sz w:val="27"/>
          <w:szCs w:val="27"/>
          <w:lang w:eastAsia="ru-RU"/>
        </w:rPr>
        <w:t xml:space="preserve"> </w:t>
      </w:r>
      <w:proofErr w:type="spellStart"/>
      <w:r w:rsidRPr="00964BE5">
        <w:rPr>
          <w:rFonts w:ascii="Helvetica" w:eastAsia="Times New Roman" w:hAnsi="Helvetica" w:cs="Arial"/>
          <w:color w:val="0A0A0B"/>
          <w:sz w:val="27"/>
          <w:szCs w:val="27"/>
          <w:lang w:eastAsia="ru-RU"/>
        </w:rPr>
        <w:t>Pay</w:t>
      </w:r>
      <w:proofErr w:type="spellEnd"/>
      <w:r w:rsidRPr="00964BE5">
        <w:rPr>
          <w:rFonts w:ascii="Helvetica" w:eastAsia="Times New Roman" w:hAnsi="Helvetica" w:cs="Arial"/>
          <w:color w:val="0A0A0B"/>
          <w:sz w:val="27"/>
          <w:szCs w:val="27"/>
          <w:lang w:eastAsia="ru-RU"/>
        </w:rPr>
        <w:t xml:space="preserve"> или подобных сервисах номера карты, «выданной» мошенниками, действующими под видом сотрудников ЦБ, для «внесения средств на безопасный счет». Человеку звонят и под разными предлогами и угрозами вынуждают снять со своего счета все средства, а нередко еще и взять кредитные, и внести через банкомат на такую карту мошенника.</w:t>
      </w:r>
    </w:p>
    <w:p w:rsidR="00964BE5" w:rsidRPr="00964BE5" w:rsidRDefault="00964BE5" w:rsidP="00964BE5">
      <w:pPr>
        <w:shd w:val="clear" w:color="auto" w:fill="FFFFFF"/>
        <w:spacing w:after="0" w:line="240" w:lineRule="auto"/>
        <w:rPr>
          <w:rFonts w:ascii="Arial" w:eastAsia="Times New Roman" w:hAnsi="Arial" w:cs="Arial"/>
          <w:color w:val="0A0A0B"/>
          <w:sz w:val="24"/>
          <w:szCs w:val="24"/>
          <w:lang w:eastAsia="ru-RU"/>
        </w:rPr>
      </w:pPr>
      <w:r>
        <w:rPr>
          <w:rFonts w:ascii="Arial" w:eastAsia="Times New Roman" w:hAnsi="Arial" w:cs="Arial"/>
          <w:noProof/>
          <w:color w:val="0A0A0B"/>
          <w:sz w:val="24"/>
          <w:szCs w:val="24"/>
          <w:lang w:eastAsia="ru-RU"/>
        </w:rPr>
        <w:lastRenderedPageBreak/>
        <w:drawing>
          <wp:inline distT="0" distB="0" distL="0" distR="0">
            <wp:extent cx="6105525" cy="3038475"/>
            <wp:effectExtent l="0" t="0" r="9525" b="9525"/>
            <wp:docPr id="1" name="Рисунок 1" descr="https://cdn.gpb.ru/upload/files/iblock/1d9/uxwq32xhls2tyvywvpr3zd68dhhmwq2g/x1_inside_2432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gpb.ru/upload/files/iblock/1d9/uxwq32xhls2tyvywvpr3zd68dhhmwq2g/x1_inside_2432x8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5525" cy="3038475"/>
                    </a:xfrm>
                    <a:prstGeom prst="rect">
                      <a:avLst/>
                    </a:prstGeom>
                    <a:noFill/>
                    <a:ln>
                      <a:noFill/>
                    </a:ln>
                  </pic:spPr>
                </pic:pic>
              </a:graphicData>
            </a:graphic>
          </wp:inline>
        </w:drawing>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r w:rsidRPr="00964BE5">
        <w:rPr>
          <w:rFonts w:ascii="Arial" w:eastAsia="Times New Roman" w:hAnsi="Arial" w:cs="Arial"/>
          <w:b/>
          <w:bCs/>
          <w:color w:val="0A0A0B"/>
          <w:sz w:val="66"/>
          <w:szCs w:val="66"/>
          <w:lang w:eastAsia="ru-RU"/>
        </w:rPr>
        <w:t>Уведомление родителей о выдаче карты ребенку</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С 29 марта 2025 года родители должны будут получать уведомления от банка, если их ребенок в возрасте от 14 до 18 лет оформил карту. Также банки будут сообщать обо всех операциях по карте ребенка, чтобы родители могли принять меры, заметив нетипичную активность. Каким образом будут направляться уведомления — теми способами, что прописаны в договоре родителей с банком. Новые требования закреплены в </w:t>
      </w:r>
      <w:hyperlink r:id="rId21" w:tgtFrame="_blank" w:history="1">
        <w:r w:rsidRPr="00964BE5">
          <w:rPr>
            <w:rFonts w:ascii="Arial" w:eastAsia="Times New Roman" w:hAnsi="Arial" w:cs="Arial"/>
            <w:color w:val="2F67F9"/>
            <w:sz w:val="24"/>
            <w:szCs w:val="24"/>
            <w:u w:val="single"/>
            <w:lang w:eastAsia="ru-RU"/>
          </w:rPr>
          <w:t>Положении № 851-П от 30.01.2025</w:t>
        </w:r>
      </w:hyperlink>
      <w:r w:rsidRPr="00964BE5">
        <w:rPr>
          <w:rFonts w:ascii="Helvetica" w:eastAsia="Times New Roman" w:hAnsi="Helvetica" w:cs="Arial"/>
          <w:color w:val="0A0A0B"/>
          <w:sz w:val="27"/>
          <w:szCs w:val="27"/>
          <w:lang w:eastAsia="ru-RU"/>
        </w:rPr>
        <w:t>.</w:t>
      </w:r>
    </w:p>
    <w:p w:rsidR="00964BE5" w:rsidRPr="00964BE5" w:rsidRDefault="00964BE5" w:rsidP="00964BE5">
      <w:pPr>
        <w:shd w:val="clear" w:color="auto" w:fill="FFFFFF"/>
        <w:spacing w:after="0" w:line="780" w:lineRule="atLeast"/>
        <w:outlineLvl w:val="1"/>
        <w:rPr>
          <w:rFonts w:ascii="Arial" w:eastAsia="Times New Roman" w:hAnsi="Arial" w:cs="Arial"/>
          <w:b/>
          <w:bCs/>
          <w:color w:val="0A0A0B"/>
          <w:sz w:val="66"/>
          <w:szCs w:val="66"/>
          <w:lang w:eastAsia="ru-RU"/>
        </w:rPr>
      </w:pPr>
      <w:r w:rsidRPr="00964BE5">
        <w:rPr>
          <w:rFonts w:ascii="Arial" w:eastAsia="Times New Roman" w:hAnsi="Arial" w:cs="Arial"/>
          <w:b/>
          <w:bCs/>
          <w:color w:val="0A0A0B"/>
          <w:sz w:val="66"/>
          <w:szCs w:val="66"/>
          <w:lang w:eastAsia="ru-RU"/>
        </w:rPr>
        <w:t>Единая база телефонных мошенников</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Большинство мошеннических схем начинаются с телефонного звонка. Клиента под психологическим давлением просят снять деньги и отдать курьеру, перевести кому-либо, озвучить данные банковской карты или счета. Жертвы, особенно пожилые люди, теряются и слепо следуют указаниям мошенников, лишаясь денег.</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1 апреля 2025 года был подписан </w:t>
      </w:r>
      <w:hyperlink r:id="rId22" w:tgtFrame="_blank" w:history="1">
        <w:r w:rsidRPr="00964BE5">
          <w:rPr>
            <w:rFonts w:ascii="Arial" w:eastAsia="Times New Roman" w:hAnsi="Arial" w:cs="Arial"/>
            <w:color w:val="2F67F9"/>
            <w:sz w:val="24"/>
            <w:szCs w:val="24"/>
            <w:u w:val="single"/>
            <w:lang w:eastAsia="ru-RU"/>
          </w:rPr>
          <w:t>закон № 41-ФЗ</w:t>
        </w:r>
      </w:hyperlink>
      <w:r w:rsidRPr="00964BE5">
        <w:rPr>
          <w:rFonts w:ascii="Helvetica" w:eastAsia="Times New Roman" w:hAnsi="Helvetica" w:cs="Arial"/>
          <w:color w:val="0A0A0B"/>
          <w:sz w:val="27"/>
          <w:szCs w:val="27"/>
          <w:lang w:eastAsia="ru-RU"/>
        </w:rPr>
        <w:t xml:space="preserve"> о мерах по противодействию телефонному мошенничеству, согласно которому </w:t>
      </w:r>
      <w:r w:rsidRPr="00964BE5">
        <w:rPr>
          <w:rFonts w:ascii="Helvetica" w:eastAsia="Times New Roman" w:hAnsi="Helvetica" w:cs="Arial"/>
          <w:color w:val="0A0A0B"/>
          <w:sz w:val="27"/>
          <w:szCs w:val="27"/>
          <w:lang w:eastAsia="ru-RU"/>
        </w:rPr>
        <w:lastRenderedPageBreak/>
        <w:t xml:space="preserve">голоса мошенников начнут собирать в единую базу, чтобы отслеживать их активность. Этот </w:t>
      </w:r>
      <w:proofErr w:type="gramStart"/>
      <w:r w:rsidRPr="00964BE5">
        <w:rPr>
          <w:rFonts w:ascii="Helvetica" w:eastAsia="Times New Roman" w:hAnsi="Helvetica" w:cs="Arial"/>
          <w:color w:val="0A0A0B"/>
          <w:sz w:val="27"/>
          <w:szCs w:val="27"/>
          <w:lang w:eastAsia="ru-RU"/>
        </w:rPr>
        <w:t>закон</w:t>
      </w:r>
      <w:proofErr w:type="gramEnd"/>
      <w:r w:rsidRPr="00964BE5">
        <w:rPr>
          <w:rFonts w:ascii="Helvetica" w:eastAsia="Times New Roman" w:hAnsi="Helvetica" w:cs="Arial"/>
          <w:color w:val="0A0A0B"/>
          <w:sz w:val="27"/>
          <w:szCs w:val="27"/>
          <w:lang w:eastAsia="ru-RU"/>
        </w:rPr>
        <w:t xml:space="preserve"> в том числе предусматривает:</w:t>
      </w:r>
    </w:p>
    <w:p w:rsidR="00964BE5" w:rsidRPr="00964BE5" w:rsidRDefault="00964BE5" w:rsidP="00964BE5">
      <w:pPr>
        <w:numPr>
          <w:ilvl w:val="0"/>
          <w:numId w:val="1"/>
        </w:numPr>
        <w:shd w:val="clear" w:color="auto" w:fill="FFFFFF"/>
        <w:spacing w:before="100" w:beforeAutospacing="1" w:after="100" w:afterAutospacing="1" w:line="420" w:lineRule="atLeast"/>
        <w:ind w:left="0"/>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 xml:space="preserve">Запрет сотрудникам госорганов, банков и операторам связи </w:t>
      </w:r>
      <w:proofErr w:type="spellStart"/>
      <w:r w:rsidRPr="00964BE5">
        <w:rPr>
          <w:rFonts w:ascii="Helvetica" w:eastAsia="Times New Roman" w:hAnsi="Helvetica" w:cs="Arial"/>
          <w:color w:val="0A0A0B"/>
          <w:sz w:val="27"/>
          <w:szCs w:val="27"/>
          <w:lang w:eastAsia="ru-RU"/>
        </w:rPr>
        <w:t>коммуницировать</w:t>
      </w:r>
      <w:proofErr w:type="spellEnd"/>
      <w:r w:rsidRPr="00964BE5">
        <w:rPr>
          <w:rFonts w:ascii="Helvetica" w:eastAsia="Times New Roman" w:hAnsi="Helvetica" w:cs="Arial"/>
          <w:color w:val="0A0A0B"/>
          <w:sz w:val="27"/>
          <w:szCs w:val="27"/>
          <w:lang w:eastAsia="ru-RU"/>
        </w:rPr>
        <w:t xml:space="preserve"> с клиентами в мессенджерах. То есть, если после принятия закона и вступления его в силу гражданину напишет человек, представившийся сотрудником банка, можно сразу сделать вывод, что это мошенник.</w:t>
      </w:r>
    </w:p>
    <w:p w:rsidR="00964BE5" w:rsidRPr="00964BE5" w:rsidRDefault="00964BE5" w:rsidP="00964BE5">
      <w:pPr>
        <w:numPr>
          <w:ilvl w:val="0"/>
          <w:numId w:val="1"/>
        </w:numPr>
        <w:shd w:val="clear" w:color="auto" w:fill="FFFFFF"/>
        <w:spacing w:before="100" w:beforeAutospacing="1" w:after="100" w:afterAutospacing="1" w:line="420" w:lineRule="atLeast"/>
        <w:ind w:left="0"/>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Ввод обязательной маркировки входящих звонков — на экране телефона должно быть видно, какая организация звонит.</w:t>
      </w:r>
    </w:p>
    <w:p w:rsidR="00964BE5" w:rsidRPr="00964BE5" w:rsidRDefault="00964BE5" w:rsidP="00964BE5">
      <w:pPr>
        <w:numPr>
          <w:ilvl w:val="0"/>
          <w:numId w:val="1"/>
        </w:numPr>
        <w:shd w:val="clear" w:color="auto" w:fill="FFFFFF"/>
        <w:spacing w:before="100" w:beforeAutospacing="1" w:after="100" w:afterAutospacing="1" w:line="420" w:lineRule="atLeast"/>
        <w:ind w:left="0"/>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 xml:space="preserve">Использование биометрии для финансовых операций — например, для оформления </w:t>
      </w:r>
      <w:proofErr w:type="spellStart"/>
      <w:r w:rsidRPr="00964BE5">
        <w:rPr>
          <w:rFonts w:ascii="Helvetica" w:eastAsia="Times New Roman" w:hAnsi="Helvetica" w:cs="Arial"/>
          <w:color w:val="0A0A0B"/>
          <w:sz w:val="27"/>
          <w:szCs w:val="27"/>
          <w:lang w:eastAsia="ru-RU"/>
        </w:rPr>
        <w:t>микрозаймов</w:t>
      </w:r>
      <w:proofErr w:type="spellEnd"/>
      <w:r w:rsidRPr="00964BE5">
        <w:rPr>
          <w:rFonts w:ascii="Helvetica" w:eastAsia="Times New Roman" w:hAnsi="Helvetica" w:cs="Arial"/>
          <w:color w:val="0A0A0B"/>
          <w:sz w:val="27"/>
          <w:szCs w:val="27"/>
          <w:lang w:eastAsia="ru-RU"/>
        </w:rPr>
        <w:t xml:space="preserve">, а также для аутентификации в онлайн-сервисах — например, сервисах объявлений или </w:t>
      </w:r>
      <w:proofErr w:type="spellStart"/>
      <w:r w:rsidRPr="00964BE5">
        <w:rPr>
          <w:rFonts w:ascii="Helvetica" w:eastAsia="Times New Roman" w:hAnsi="Helvetica" w:cs="Arial"/>
          <w:color w:val="0A0A0B"/>
          <w:sz w:val="27"/>
          <w:szCs w:val="27"/>
          <w:lang w:eastAsia="ru-RU"/>
        </w:rPr>
        <w:t>маркетплейсах</w:t>
      </w:r>
      <w:proofErr w:type="spellEnd"/>
      <w:r w:rsidRPr="00964BE5">
        <w:rPr>
          <w:rFonts w:ascii="Helvetica" w:eastAsia="Times New Roman" w:hAnsi="Helvetica" w:cs="Arial"/>
          <w:color w:val="0A0A0B"/>
          <w:sz w:val="27"/>
          <w:szCs w:val="27"/>
          <w:lang w:eastAsia="ru-RU"/>
        </w:rPr>
        <w:t>.</w:t>
      </w:r>
    </w:p>
    <w:p w:rsidR="00964BE5" w:rsidRPr="00964BE5" w:rsidRDefault="00964BE5" w:rsidP="00964BE5">
      <w:pPr>
        <w:shd w:val="clear" w:color="auto" w:fill="FFFFFF"/>
        <w:spacing w:after="0" w:line="420" w:lineRule="atLeast"/>
        <w:rPr>
          <w:rFonts w:ascii="Helvetica" w:eastAsia="Times New Roman" w:hAnsi="Helvetica" w:cs="Arial"/>
          <w:color w:val="0A0A0B"/>
          <w:sz w:val="27"/>
          <w:szCs w:val="27"/>
          <w:lang w:eastAsia="ru-RU"/>
        </w:rPr>
      </w:pPr>
      <w:r w:rsidRPr="00964BE5">
        <w:rPr>
          <w:rFonts w:ascii="Helvetica" w:eastAsia="Times New Roman" w:hAnsi="Helvetica" w:cs="Arial"/>
          <w:color w:val="0A0A0B"/>
          <w:sz w:val="27"/>
          <w:szCs w:val="27"/>
          <w:lang w:eastAsia="ru-RU"/>
        </w:rPr>
        <w:t>Федеральный закон содержит комплекс из почти 30 мер и вступит в силу уже 1 июня 2025 года, отдельные положения — позже.</w:t>
      </w:r>
    </w:p>
    <w:p w:rsidR="0073384E" w:rsidRDefault="0073384E"/>
    <w:sectPr w:rsidR="0073384E" w:rsidSect="00964BE5">
      <w:type w:val="continuous"/>
      <w:pgSz w:w="11907" w:h="16839" w:code="9"/>
      <w:pgMar w:top="1134" w:right="850" w:bottom="1134" w:left="1701" w:header="720" w:footer="80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C4F85"/>
    <w:multiLevelType w:val="multilevel"/>
    <w:tmpl w:val="EBFC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E5"/>
    <w:rsid w:val="000B6F5D"/>
    <w:rsid w:val="0073384E"/>
    <w:rsid w:val="00964BE5"/>
    <w:rsid w:val="00DD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4B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B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B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4B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BE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4BE5"/>
    <w:rPr>
      <w:color w:val="0000FF"/>
      <w:u w:val="single"/>
    </w:rPr>
  </w:style>
  <w:style w:type="paragraph" w:customStyle="1" w:styleId="p1">
    <w:name w:val="p1"/>
    <w:basedOn w:val="a"/>
    <w:rsid w:val="00964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64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4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4B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B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B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4B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BE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4BE5"/>
    <w:rPr>
      <w:color w:val="0000FF"/>
      <w:u w:val="single"/>
    </w:rPr>
  </w:style>
  <w:style w:type="paragraph" w:customStyle="1" w:styleId="p1">
    <w:name w:val="p1"/>
    <w:basedOn w:val="a"/>
    <w:rsid w:val="00964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64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4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7900">
      <w:bodyDiv w:val="1"/>
      <w:marLeft w:val="0"/>
      <w:marRight w:val="0"/>
      <w:marTop w:val="0"/>
      <w:marBottom w:val="0"/>
      <w:divBdr>
        <w:top w:val="none" w:sz="0" w:space="0" w:color="auto"/>
        <w:left w:val="none" w:sz="0" w:space="0" w:color="auto"/>
        <w:bottom w:val="none" w:sz="0" w:space="0" w:color="auto"/>
        <w:right w:val="none" w:sz="0" w:space="0" w:color="auto"/>
      </w:divBdr>
      <w:divsChild>
        <w:div w:id="423459924">
          <w:marLeft w:val="0"/>
          <w:marRight w:val="0"/>
          <w:marTop w:val="0"/>
          <w:marBottom w:val="0"/>
          <w:divBdr>
            <w:top w:val="none" w:sz="0" w:space="0" w:color="auto"/>
            <w:left w:val="none" w:sz="0" w:space="0" w:color="auto"/>
            <w:bottom w:val="none" w:sz="0" w:space="0" w:color="auto"/>
            <w:right w:val="none" w:sz="0" w:space="0" w:color="auto"/>
          </w:divBdr>
        </w:div>
        <w:div w:id="1012875809">
          <w:marLeft w:val="0"/>
          <w:marRight w:val="0"/>
          <w:marTop w:val="0"/>
          <w:marBottom w:val="0"/>
          <w:divBdr>
            <w:top w:val="none" w:sz="0" w:space="0" w:color="auto"/>
            <w:left w:val="none" w:sz="0" w:space="0" w:color="auto"/>
            <w:bottom w:val="none" w:sz="0" w:space="0" w:color="auto"/>
            <w:right w:val="none" w:sz="0" w:space="0" w:color="auto"/>
          </w:divBdr>
          <w:divsChild>
            <w:div w:id="626468261">
              <w:marLeft w:val="0"/>
              <w:marRight w:val="0"/>
              <w:marTop w:val="0"/>
              <w:marBottom w:val="0"/>
              <w:divBdr>
                <w:top w:val="none" w:sz="0" w:space="0" w:color="auto"/>
                <w:left w:val="none" w:sz="0" w:space="0" w:color="auto"/>
                <w:bottom w:val="none" w:sz="0" w:space="0" w:color="auto"/>
                <w:right w:val="none" w:sz="0" w:space="0" w:color="auto"/>
              </w:divBdr>
              <w:divsChild>
                <w:div w:id="2039431940">
                  <w:marLeft w:val="0"/>
                  <w:marRight w:val="0"/>
                  <w:marTop w:val="480"/>
                  <w:marBottom w:val="480"/>
                  <w:divBdr>
                    <w:top w:val="none" w:sz="0" w:space="0" w:color="auto"/>
                    <w:left w:val="none" w:sz="0" w:space="0" w:color="auto"/>
                    <w:bottom w:val="none" w:sz="0" w:space="0" w:color="auto"/>
                    <w:right w:val="none" w:sz="0" w:space="0" w:color="auto"/>
                  </w:divBdr>
                  <w:divsChild>
                    <w:div w:id="1198276205">
                      <w:marLeft w:val="0"/>
                      <w:marRight w:val="0"/>
                      <w:marTop w:val="240"/>
                      <w:marBottom w:val="0"/>
                      <w:divBdr>
                        <w:top w:val="none" w:sz="0" w:space="0" w:color="auto"/>
                        <w:left w:val="none" w:sz="0" w:space="0" w:color="auto"/>
                        <w:bottom w:val="none" w:sz="0" w:space="0" w:color="auto"/>
                        <w:right w:val="none" w:sz="0" w:space="0" w:color="auto"/>
                      </w:divBdr>
                    </w:div>
                  </w:divsChild>
                </w:div>
                <w:div w:id="42602959">
                  <w:marLeft w:val="0"/>
                  <w:marRight w:val="0"/>
                  <w:marTop w:val="0"/>
                  <w:marBottom w:val="0"/>
                  <w:divBdr>
                    <w:top w:val="none" w:sz="0" w:space="0" w:color="auto"/>
                    <w:left w:val="none" w:sz="0" w:space="0" w:color="auto"/>
                    <w:bottom w:val="none" w:sz="0" w:space="0" w:color="auto"/>
                    <w:right w:val="none" w:sz="0" w:space="0" w:color="auto"/>
                  </w:divBdr>
                </w:div>
                <w:div w:id="1715080312">
                  <w:marLeft w:val="0"/>
                  <w:marRight w:val="0"/>
                  <w:marTop w:val="0"/>
                  <w:marBottom w:val="0"/>
                  <w:divBdr>
                    <w:top w:val="none" w:sz="0" w:space="0" w:color="auto"/>
                    <w:left w:val="none" w:sz="0" w:space="0" w:color="auto"/>
                    <w:bottom w:val="none" w:sz="0" w:space="0" w:color="auto"/>
                    <w:right w:val="none" w:sz="0" w:space="0" w:color="auto"/>
                  </w:divBdr>
                  <w:divsChild>
                    <w:div w:id="1208567388">
                      <w:marLeft w:val="0"/>
                      <w:marRight w:val="0"/>
                      <w:marTop w:val="0"/>
                      <w:marBottom w:val="0"/>
                      <w:divBdr>
                        <w:top w:val="none" w:sz="0" w:space="0" w:color="auto"/>
                        <w:left w:val="none" w:sz="0" w:space="0" w:color="auto"/>
                        <w:bottom w:val="none" w:sz="0" w:space="0" w:color="auto"/>
                        <w:right w:val="none" w:sz="0" w:space="0" w:color="auto"/>
                      </w:divBdr>
                    </w:div>
                  </w:divsChild>
                </w:div>
                <w:div w:id="1514371131">
                  <w:marLeft w:val="0"/>
                  <w:marRight w:val="0"/>
                  <w:marTop w:val="0"/>
                  <w:marBottom w:val="0"/>
                  <w:divBdr>
                    <w:top w:val="none" w:sz="0" w:space="0" w:color="auto"/>
                    <w:left w:val="none" w:sz="0" w:space="0" w:color="auto"/>
                    <w:bottom w:val="none" w:sz="0" w:space="0" w:color="auto"/>
                    <w:right w:val="none" w:sz="0" w:space="0" w:color="auto"/>
                  </w:divBdr>
                </w:div>
                <w:div w:id="769932957">
                  <w:marLeft w:val="0"/>
                  <w:marRight w:val="0"/>
                  <w:marTop w:val="0"/>
                  <w:marBottom w:val="0"/>
                  <w:divBdr>
                    <w:top w:val="none" w:sz="0" w:space="0" w:color="auto"/>
                    <w:left w:val="none" w:sz="0" w:space="0" w:color="auto"/>
                    <w:bottom w:val="none" w:sz="0" w:space="0" w:color="auto"/>
                    <w:right w:val="none" w:sz="0" w:space="0" w:color="auto"/>
                  </w:divBdr>
                </w:div>
                <w:div w:id="1652129731">
                  <w:marLeft w:val="0"/>
                  <w:marRight w:val="0"/>
                  <w:marTop w:val="0"/>
                  <w:marBottom w:val="0"/>
                  <w:divBdr>
                    <w:top w:val="none" w:sz="0" w:space="0" w:color="auto"/>
                    <w:left w:val="none" w:sz="0" w:space="0" w:color="auto"/>
                    <w:bottom w:val="none" w:sz="0" w:space="0" w:color="auto"/>
                    <w:right w:val="none" w:sz="0" w:space="0" w:color="auto"/>
                  </w:divBdr>
                  <w:divsChild>
                    <w:div w:id="439951712">
                      <w:blockQuote w:val="1"/>
                      <w:marLeft w:val="0"/>
                      <w:marRight w:val="0"/>
                      <w:marTop w:val="0"/>
                      <w:marBottom w:val="0"/>
                      <w:divBdr>
                        <w:top w:val="single" w:sz="2" w:space="0" w:color="2B5EE3"/>
                        <w:left w:val="single" w:sz="24" w:space="0" w:color="2B5EE3"/>
                        <w:bottom w:val="single" w:sz="2" w:space="0" w:color="2B5EE3"/>
                        <w:right w:val="single" w:sz="2" w:space="0" w:color="2B5EE3"/>
                      </w:divBdr>
                    </w:div>
                  </w:divsChild>
                </w:div>
                <w:div w:id="416706406">
                  <w:marLeft w:val="0"/>
                  <w:marRight w:val="0"/>
                  <w:marTop w:val="0"/>
                  <w:marBottom w:val="0"/>
                  <w:divBdr>
                    <w:top w:val="none" w:sz="0" w:space="0" w:color="auto"/>
                    <w:left w:val="none" w:sz="0" w:space="0" w:color="auto"/>
                    <w:bottom w:val="none" w:sz="0" w:space="0" w:color="auto"/>
                    <w:right w:val="none" w:sz="0" w:space="0" w:color="auto"/>
                  </w:divBdr>
                </w:div>
                <w:div w:id="1515652844">
                  <w:marLeft w:val="0"/>
                  <w:marRight w:val="0"/>
                  <w:marTop w:val="0"/>
                  <w:marBottom w:val="0"/>
                  <w:divBdr>
                    <w:top w:val="none" w:sz="0" w:space="0" w:color="auto"/>
                    <w:left w:val="none" w:sz="0" w:space="0" w:color="auto"/>
                    <w:bottom w:val="none" w:sz="0" w:space="0" w:color="auto"/>
                    <w:right w:val="none" w:sz="0" w:space="0" w:color="auto"/>
                  </w:divBdr>
                  <w:divsChild>
                    <w:div w:id="1157454823">
                      <w:marLeft w:val="0"/>
                      <w:marRight w:val="0"/>
                      <w:marTop w:val="0"/>
                      <w:marBottom w:val="0"/>
                      <w:divBdr>
                        <w:top w:val="none" w:sz="0" w:space="0" w:color="auto"/>
                        <w:left w:val="none" w:sz="0" w:space="0" w:color="auto"/>
                        <w:bottom w:val="none" w:sz="0" w:space="0" w:color="auto"/>
                        <w:right w:val="none" w:sz="0" w:space="0" w:color="auto"/>
                      </w:divBdr>
                    </w:div>
                  </w:divsChild>
                </w:div>
                <w:div w:id="142551790">
                  <w:marLeft w:val="0"/>
                  <w:marRight w:val="0"/>
                  <w:marTop w:val="0"/>
                  <w:marBottom w:val="0"/>
                  <w:divBdr>
                    <w:top w:val="none" w:sz="0" w:space="0" w:color="auto"/>
                    <w:left w:val="none" w:sz="0" w:space="0" w:color="auto"/>
                    <w:bottom w:val="none" w:sz="0" w:space="0" w:color="auto"/>
                    <w:right w:val="none" w:sz="0" w:space="0" w:color="auto"/>
                  </w:divBdr>
                </w:div>
                <w:div w:id="15055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prombank.ru/pro-finance/safety/borba-s-moshennikami/" TargetMode="External"/><Relationship Id="rId13" Type="http://schemas.openxmlformats.org/officeDocument/2006/relationships/hyperlink" Target="https://www.gazprombank.ru/personal/take_credit/consumer_credit/5004451/" TargetMode="External"/><Relationship Id="rId18" Type="http://schemas.openxmlformats.org/officeDocument/2006/relationships/hyperlink" Target="https://cbr.ru/Queries/UniDbQuery/File/90134/6262" TargetMode="External"/><Relationship Id="rId3" Type="http://schemas.microsoft.com/office/2007/relationships/stylesWithEffects" Target="stylesWithEffects.xml"/><Relationship Id="rId21" Type="http://schemas.openxmlformats.org/officeDocument/2006/relationships/hyperlink" Target="https://cbr.ru/Queries/UniDbQuery/File/90134/6262" TargetMode="External"/><Relationship Id="rId7" Type="http://schemas.openxmlformats.org/officeDocument/2006/relationships/hyperlink" Target="https://www.gazprombank.ru/pro-finance/safety/borba-s-moshennikami/" TargetMode="External"/><Relationship Id="rId12" Type="http://schemas.openxmlformats.org/officeDocument/2006/relationships/hyperlink" Target="https://www.cbr.ru/analytics/ib/operations_survey/2024/" TargetMode="External"/><Relationship Id="rId17" Type="http://schemas.openxmlformats.org/officeDocument/2006/relationships/hyperlink" Target="https://www.garant.ru/hotlaw/federal/1795171/" TargetMode="External"/><Relationship Id="rId2" Type="http://schemas.openxmlformats.org/officeDocument/2006/relationships/styles" Target="styles.xml"/><Relationship Id="rId16" Type="http://schemas.openxmlformats.org/officeDocument/2006/relationships/hyperlink" Target="https://www.gazprombank.ru/pro-finance/credit/samozapret-na-vydachu-kreditov/"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gazprombank.ru/pro-finance/safety/borba-s-moshennikami/" TargetMode="External"/><Relationship Id="rId11" Type="http://schemas.openxmlformats.org/officeDocument/2006/relationships/hyperlink" Target="https://www.gazprombank.ru/pro-finance/safety/borba-s-moshennikam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0001202402260017" TargetMode="External"/><Relationship Id="rId23" Type="http://schemas.openxmlformats.org/officeDocument/2006/relationships/fontTable" Target="fontTable.xml"/><Relationship Id="rId10" Type="http://schemas.openxmlformats.org/officeDocument/2006/relationships/hyperlink" Target="https://www.gazprombank.ru/pro-finance/safety/borba-s-moshennikami/" TargetMode="External"/><Relationship Id="rId19" Type="http://schemas.openxmlformats.org/officeDocument/2006/relationships/hyperlink" Target="https://cbr.ru/Queries/UniDbQuery/File/90134/6262" TargetMode="External"/><Relationship Id="rId4" Type="http://schemas.openxmlformats.org/officeDocument/2006/relationships/settings" Target="settings.xml"/><Relationship Id="rId9" Type="http://schemas.openxmlformats.org/officeDocument/2006/relationships/hyperlink" Target="https://www.gazprombank.ru/pro-finance/safety/borba-s-moshennikami/" TargetMode="External"/><Relationship Id="rId14" Type="http://schemas.openxmlformats.org/officeDocument/2006/relationships/image" Target="media/image1.jpeg"/><Relationship Id="rId22" Type="http://schemas.openxmlformats.org/officeDocument/2006/relationships/hyperlink" Target="https://www.consultant.ru/document/cons_doc_LAW_502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2025-07-02T09:41:00Z</dcterms:created>
  <dcterms:modified xsi:type="dcterms:W3CDTF">2025-07-02T09:43:00Z</dcterms:modified>
</cp:coreProperties>
</file>