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BC" w:rsidRDefault="00B569BC" w:rsidP="00104881">
      <w:pPr>
        <w:shd w:val="clear" w:color="auto" w:fill="FFFFFF"/>
        <w:spacing w:after="0" w:line="240" w:lineRule="auto"/>
        <w:rPr>
          <w:rFonts w:ascii="Arial" w:eastAsia="Times New Roman" w:hAnsi="Arial" w:cs="Arial"/>
          <w:b/>
          <w:bCs/>
          <w:color w:val="252525"/>
          <w:sz w:val="32"/>
          <w:szCs w:val="32"/>
          <w:lang w:eastAsia="ru-RU"/>
        </w:rPr>
      </w:pPr>
      <w:bookmarkStart w:id="0" w:name="_GoBack"/>
      <w:bookmarkEnd w:id="0"/>
    </w:p>
    <w:p w:rsidR="00B569BC" w:rsidRDefault="00B569BC" w:rsidP="008F1E4C">
      <w:pPr>
        <w:shd w:val="clear" w:color="auto" w:fill="FFFFFF"/>
        <w:spacing w:after="0" w:line="240" w:lineRule="auto"/>
        <w:jc w:val="center"/>
        <w:rPr>
          <w:rFonts w:ascii="Arial" w:eastAsia="Times New Roman" w:hAnsi="Arial" w:cs="Arial"/>
          <w:b/>
          <w:bCs/>
          <w:color w:val="252525"/>
          <w:sz w:val="32"/>
          <w:szCs w:val="32"/>
          <w:lang w:eastAsia="ru-RU"/>
        </w:rPr>
      </w:pPr>
    </w:p>
    <w:p w:rsidR="00B569BC" w:rsidRDefault="00B569BC" w:rsidP="008F1E4C">
      <w:pPr>
        <w:shd w:val="clear" w:color="auto" w:fill="FFFFFF"/>
        <w:spacing w:after="0" w:line="240" w:lineRule="auto"/>
        <w:jc w:val="center"/>
        <w:rPr>
          <w:rFonts w:ascii="Arial" w:eastAsia="Times New Roman" w:hAnsi="Arial" w:cs="Arial"/>
          <w:b/>
          <w:bCs/>
          <w:color w:val="252525"/>
          <w:sz w:val="32"/>
          <w:szCs w:val="32"/>
          <w:lang w:eastAsia="ru-RU"/>
        </w:rPr>
      </w:pPr>
    </w:p>
    <w:p w:rsidR="008F1E4C" w:rsidRPr="008F1E4C" w:rsidRDefault="008F1E4C" w:rsidP="008F1E4C">
      <w:pPr>
        <w:shd w:val="clear" w:color="auto" w:fill="FFFFFF"/>
        <w:spacing w:after="0" w:line="240" w:lineRule="auto"/>
        <w:jc w:val="center"/>
        <w:rPr>
          <w:rFonts w:ascii="Arial" w:eastAsia="Times New Roman" w:hAnsi="Arial" w:cs="Arial"/>
          <w:color w:val="252525"/>
          <w:sz w:val="21"/>
          <w:szCs w:val="21"/>
          <w:lang w:eastAsia="ru-RU"/>
        </w:rPr>
      </w:pPr>
      <w:r w:rsidRPr="008F1E4C">
        <w:rPr>
          <w:rFonts w:ascii="Arial" w:eastAsia="Times New Roman" w:hAnsi="Arial" w:cs="Arial"/>
          <w:b/>
          <w:bCs/>
          <w:color w:val="252525"/>
          <w:sz w:val="32"/>
          <w:szCs w:val="32"/>
          <w:lang w:eastAsia="ru-RU"/>
        </w:rPr>
        <w:t>Предупреждение и профилактика семейно-бытовых преступлений</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В силу ряда причин, в </w:t>
      </w:r>
      <w:proofErr w:type="spellStart"/>
      <w:r w:rsidRPr="008F1E4C">
        <w:rPr>
          <w:rFonts w:ascii="Arial" w:eastAsia="Times New Roman" w:hAnsi="Arial" w:cs="Arial"/>
          <w:color w:val="252525"/>
          <w:sz w:val="28"/>
          <w:szCs w:val="28"/>
          <w:lang w:eastAsia="ru-RU"/>
        </w:rPr>
        <w:t>т.ч</w:t>
      </w:r>
      <w:proofErr w:type="spellEnd"/>
      <w:r w:rsidRPr="008F1E4C">
        <w:rPr>
          <w:rFonts w:ascii="Arial" w:eastAsia="Times New Roman" w:hAnsi="Arial" w:cs="Arial"/>
          <w:color w:val="252525"/>
          <w:sz w:val="28"/>
          <w:szCs w:val="28"/>
          <w:lang w:eastAsia="ru-RU"/>
        </w:rPr>
        <w:t xml:space="preserve">. духовно-нравственных, социально-экономических (безработицы, алкоголизации населения, падение нравственности и т.д.) в последнее время все более осложняется </w:t>
      </w:r>
      <w:proofErr w:type="gramStart"/>
      <w:r w:rsidRPr="008F1E4C">
        <w:rPr>
          <w:rFonts w:ascii="Arial" w:eastAsia="Times New Roman" w:hAnsi="Arial" w:cs="Arial"/>
          <w:color w:val="252525"/>
          <w:sz w:val="28"/>
          <w:szCs w:val="28"/>
          <w:lang w:eastAsia="ru-RU"/>
        </w:rPr>
        <w:t>криминогенная ситуация</w:t>
      </w:r>
      <w:proofErr w:type="gramEnd"/>
      <w:r w:rsidRPr="008F1E4C">
        <w:rPr>
          <w:rFonts w:ascii="Arial" w:eastAsia="Times New Roman" w:hAnsi="Arial" w:cs="Arial"/>
          <w:color w:val="252525"/>
          <w:sz w:val="28"/>
          <w:szCs w:val="28"/>
          <w:lang w:eastAsia="ru-RU"/>
        </w:rPr>
        <w:t xml:space="preserve"> в сфере семейно-бытовых отношений.</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В сфере быта, как правило, совершается каждое третье убийство и тяжкое телесное повреждение. Причем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Административные правонарушения, такие как мелкое хулиганство и причинение легких телесных повреждений в своей совокупности были и остаются самым массовым видом административных правонарушений, о чем свидетельствует тот факт, что их удельный вес составляет ежегодно более 6 % от общего числа административных правонарушений. Из этого следует, что административные правонарушения в сфере семейно-бытовых отношений на сегодняшний день превратились в одно из самых распространенных негативных социальных явлений.</w:t>
      </w:r>
    </w:p>
    <w:p w:rsidR="008F1E4C" w:rsidRDefault="008F1E4C" w:rsidP="008F1E4C">
      <w:pPr>
        <w:shd w:val="clear" w:color="auto" w:fill="FFFFFF"/>
        <w:spacing w:after="0" w:line="240" w:lineRule="auto"/>
        <w:jc w:val="both"/>
        <w:rPr>
          <w:rFonts w:ascii="Arial" w:eastAsia="Times New Roman" w:hAnsi="Arial" w:cs="Arial"/>
          <w:color w:val="252525"/>
          <w:sz w:val="28"/>
          <w:szCs w:val="28"/>
          <w:lang w:eastAsia="ru-RU"/>
        </w:rPr>
      </w:pPr>
      <w:r w:rsidRPr="008F1E4C">
        <w:rPr>
          <w:rFonts w:ascii="Arial" w:eastAsia="Times New Roman" w:hAnsi="Arial" w:cs="Arial"/>
          <w:color w:val="252525"/>
          <w:sz w:val="28"/>
          <w:szCs w:val="28"/>
          <w:lang w:eastAsia="ru-RU"/>
        </w:rPr>
        <w:t>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общественный порядок, в основе которых лежат неприязненные взаимоотношения либо внезапно возникшие конфликты между близкими родственниками, членами семьи.</w:t>
      </w:r>
    </w:p>
    <w:p w:rsidR="00B569BC" w:rsidRDefault="00B569BC" w:rsidP="00B569BC">
      <w:pPr>
        <w:shd w:val="clear" w:color="auto" w:fill="FFFFFF"/>
        <w:spacing w:after="150" w:line="240" w:lineRule="auto"/>
        <w:rPr>
          <w:rFonts w:ascii="Arial" w:eastAsia="Times New Roman" w:hAnsi="Arial" w:cs="Arial"/>
          <w:sz w:val="28"/>
          <w:szCs w:val="28"/>
          <w:lang w:eastAsia="ru-RU"/>
        </w:rPr>
      </w:pPr>
      <w:r>
        <w:rPr>
          <w:rFonts w:ascii="Arial" w:eastAsia="Times New Roman" w:hAnsi="Arial" w:cs="Arial"/>
          <w:sz w:val="28"/>
          <w:szCs w:val="28"/>
          <w:lang w:eastAsia="ru-RU"/>
        </w:rPr>
        <w:t xml:space="preserve"> </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Семейно-бытовые правонарушения имеют ряд характерных признаков:</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конкретное место совершения правонарушения (квартира, дом, подъезд, дачный участок, гараж, придомовая территория);</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особые взаимоотношения между лицом, совершившим правонарушение, и потерпевшим (супружеские, родственные, соседские, дружеские);</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наличие конфликта между лицом, совершившим правонарушение, и потерпевшим (</w:t>
      </w:r>
      <w:proofErr w:type="gramStart"/>
      <w:r w:rsidRPr="00B569BC">
        <w:rPr>
          <w:rFonts w:ascii="Arial" w:eastAsia="Times New Roman" w:hAnsi="Arial" w:cs="Arial"/>
          <w:sz w:val="28"/>
          <w:szCs w:val="28"/>
          <w:lang w:eastAsia="ru-RU"/>
        </w:rPr>
        <w:t>длительный</w:t>
      </w:r>
      <w:proofErr w:type="gramEnd"/>
      <w:r w:rsidRPr="00B569BC">
        <w:rPr>
          <w:rFonts w:ascii="Arial" w:eastAsia="Times New Roman" w:hAnsi="Arial" w:cs="Arial"/>
          <w:sz w:val="28"/>
          <w:szCs w:val="28"/>
          <w:lang w:eastAsia="ru-RU"/>
        </w:rPr>
        <w:t>, краткосрочный, одноразовый);</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lastRenderedPageBreak/>
        <w:t>– обусловленный конфликтом насильственный характер большинства семейно-бытовых правонарушений;</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совершение таких деяний в абсолютном большинстве случаев в состоянии алкогольного или наркотического опьянения;</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ситуационный (заранее не подготавливаемый) характер таких правонарушений.</w:t>
      </w:r>
    </w:p>
    <w:p w:rsidR="00B569BC" w:rsidRPr="00B569BC" w:rsidRDefault="00B569BC" w:rsidP="00B569BC">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xml:space="preserve">Лица, которые совершают правонарушения на семейно-бытовой почве, в основной своей массе старше 30 лет, не заняты никакой общественно полезной деятельностью, ранее судимые (прежде всего за насильственные преступления), злоупотребляющие спиртными напитками и наркотиками, допускающие насильственные правонарушения и конфликты на семейно-бытовой почве. В настоящее время органами внутренних дел Российской Федерации проводится индивидуально-профилактическая работа с 2,4 </w:t>
      </w:r>
      <w:proofErr w:type="gramStart"/>
      <w:r w:rsidRPr="00B569BC">
        <w:rPr>
          <w:rFonts w:ascii="Arial" w:eastAsia="Times New Roman" w:hAnsi="Arial" w:cs="Arial"/>
          <w:sz w:val="28"/>
          <w:szCs w:val="28"/>
          <w:lang w:eastAsia="ru-RU"/>
        </w:rPr>
        <w:t>млн</w:t>
      </w:r>
      <w:proofErr w:type="gramEnd"/>
      <w:r w:rsidRPr="00B569BC">
        <w:rPr>
          <w:rFonts w:ascii="Arial" w:eastAsia="Times New Roman" w:hAnsi="Arial" w:cs="Arial"/>
          <w:sz w:val="28"/>
          <w:szCs w:val="28"/>
          <w:lang w:eastAsia="ru-RU"/>
        </w:rPr>
        <w:t xml:space="preserve"> лиц, из них 152,9 тыс. допускающих правонарушения в семейно-бытовых отношениях, 100,7 тыс. хронических алкоголиков и 216,8 тыс. наркоманов.</w:t>
      </w:r>
    </w:p>
    <w:p w:rsidR="00B569BC" w:rsidRPr="008F1E4C" w:rsidRDefault="00B569BC" w:rsidP="008F1E4C">
      <w:pPr>
        <w:shd w:val="clear" w:color="auto" w:fill="FFFFFF"/>
        <w:spacing w:after="0" w:line="240" w:lineRule="auto"/>
        <w:jc w:val="both"/>
        <w:rPr>
          <w:rFonts w:ascii="Arial" w:eastAsia="Times New Roman" w:hAnsi="Arial" w:cs="Arial"/>
          <w:color w:val="252525"/>
          <w:sz w:val="21"/>
          <w:szCs w:val="21"/>
          <w:lang w:eastAsia="ru-RU"/>
        </w:rPr>
      </w:pP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Совершению насильственных преступлений, в первую очередь убийств, тяжких телесных повреждений, способствует и безразличное отношение окружающих к фактам общественно опасного поведения отдельных лиц. </w:t>
      </w:r>
      <w:proofErr w:type="gramStart"/>
      <w:r w:rsidRPr="008F1E4C">
        <w:rPr>
          <w:rFonts w:ascii="Arial" w:eastAsia="Times New Roman" w:hAnsi="Arial" w:cs="Arial"/>
          <w:color w:val="252525"/>
          <w:sz w:val="28"/>
          <w:szCs w:val="28"/>
          <w:lang w:eastAsia="ru-RU"/>
        </w:rPr>
        <w:t>Названным деяниям часто предшествуют обстоятельства, свидетельствующие о соответствующих намерениях преступника, они обычно выражаются в угрозах убийством, в преследованиях жертвы, в ее побоях, истязаниях и сопровождаются неоднократным учинением хулиганских действий.</w:t>
      </w:r>
      <w:proofErr w:type="gramEnd"/>
      <w:r w:rsidRPr="008F1E4C">
        <w:rPr>
          <w:rFonts w:ascii="Arial" w:eastAsia="Times New Roman" w:hAnsi="Arial" w:cs="Arial"/>
          <w:color w:val="252525"/>
          <w:sz w:val="28"/>
          <w:szCs w:val="28"/>
          <w:lang w:eastAsia="ru-RU"/>
        </w:rPr>
        <w:t xml:space="preserve"> Подобное поведение, 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w:t>
      </w:r>
      <w:proofErr w:type="gramStart"/>
      <w:r w:rsidRPr="008F1E4C">
        <w:rPr>
          <w:rFonts w:ascii="Arial" w:eastAsia="Times New Roman" w:hAnsi="Arial" w:cs="Arial"/>
          <w:color w:val="252525"/>
          <w:sz w:val="28"/>
          <w:szCs w:val="28"/>
          <w:lang w:eastAsia="ru-RU"/>
        </w:rPr>
        <w:t>дебошира</w:t>
      </w:r>
      <w:proofErr w:type="gramEnd"/>
      <w:r w:rsidRPr="008F1E4C">
        <w:rPr>
          <w:rFonts w:ascii="Arial" w:eastAsia="Times New Roman" w:hAnsi="Arial" w:cs="Arial"/>
          <w:color w:val="252525"/>
          <w:sz w:val="28"/>
          <w:szCs w:val="28"/>
          <w:lang w:eastAsia="ru-RU"/>
        </w:rPr>
        <w:t>.</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Негативное влияние правонарушения в сфере семейно-бытовых отношений заключается, прежде всего, в формировании у </w:t>
      </w:r>
      <w:r w:rsidRPr="008F1E4C">
        <w:rPr>
          <w:rFonts w:ascii="Arial" w:eastAsia="Times New Roman" w:hAnsi="Arial" w:cs="Arial"/>
          <w:color w:val="252525"/>
          <w:sz w:val="28"/>
          <w:szCs w:val="28"/>
          <w:lang w:eastAsia="ru-RU"/>
        </w:rPr>
        <w:lastRenderedPageBreak/>
        <w:t>правонарушителей чувства вседозволенности, безнаказанности, пренебрежения, как к закону, так и к общепринятым нормам морали. Но наиболее опасным итогом любого семейного конфликта, является негативное воздействие, которое он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 </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Эффективность социальной поддержки семьи в виде оказания различных социальных услуг (консультативных, психологических, психолого-педагогических и других) при конфликтных отношениях в семье пока еще не достаточна высока. Очень большие трудности при оказании помощи возникают с разменом жилья в случае развода – нередко бывшие супруги вынуждены длительное время проживать в общей квартире, что зачастую способствует еще большим проявлением агрессии.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Следует особенно подчеркнуть, что успешная профилактика бытовых преступлений ни в коем случае не может быть обеспечена лишь путем проведения специальных воспитательных и иных мероприятий по месту жительства, хотя они являются совершенно необходимыми. Самое главное – это общее повышение культуры, сознательности, материального обеспечения населения, улучшение их жилищных условий.</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Большую роль в профилактике преступлений в сфере быта должны играть общественные организации по месту работы или учебы правонарушителей, в том числе советы профилактики, трудовые коллективы, администрация предприятий и учреждений.</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Организуя борьбу с преступлениями против личности в быту, не следует забывать о выявлении и постоянном наблюдении за людьми, страдающими различными нервно-психическими заболеваниями. В необходимых случаях к ним должны быть применены меры медицинского характера. В этой связи граждане в обязательном порядке должны информировать органы внутренних дел, либо организации здравоохранения о таких лицах. В противном случае это также приводит к трагическим последствиям.</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proofErr w:type="gramStart"/>
      <w:r w:rsidRPr="008F1E4C">
        <w:rPr>
          <w:rFonts w:ascii="Arial" w:eastAsia="Times New Roman" w:hAnsi="Arial" w:cs="Arial"/>
          <w:color w:val="252525"/>
          <w:sz w:val="28"/>
          <w:szCs w:val="28"/>
          <w:lang w:eastAsia="ru-RU"/>
        </w:rPr>
        <w:t xml:space="preserve">Специфика работы полиции по профилактике преступлений, совершаемых на почве бытовых отношений, заключается не только в организации эффективной системы реагирования на сигналы об уже совершенных правонарушениях, но и проведении упреждающих мероприятий по выявлению «проблемных» семей, острых бытовых конфликтов, чреватых трагическими последствиями, наконец, в </w:t>
      </w:r>
      <w:r w:rsidRPr="008F1E4C">
        <w:rPr>
          <w:rFonts w:ascii="Arial" w:eastAsia="Times New Roman" w:hAnsi="Arial" w:cs="Arial"/>
          <w:color w:val="252525"/>
          <w:sz w:val="28"/>
          <w:szCs w:val="28"/>
          <w:lang w:eastAsia="ru-RU"/>
        </w:rPr>
        <w:lastRenderedPageBreak/>
        <w:t>осуществлении воспитательной работы с лицами, в отношении которых прогнозируется возможность преступного поведения в быту.</w:t>
      </w:r>
      <w:proofErr w:type="gramEnd"/>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В системе </w:t>
      </w:r>
      <w:proofErr w:type="spellStart"/>
      <w:r w:rsidRPr="008F1E4C">
        <w:rPr>
          <w:rFonts w:ascii="Arial" w:eastAsia="Times New Roman" w:hAnsi="Arial" w:cs="Arial"/>
          <w:color w:val="252525"/>
          <w:sz w:val="28"/>
          <w:szCs w:val="28"/>
          <w:lang w:eastAsia="ru-RU"/>
        </w:rPr>
        <w:t>общепрофилактических</w:t>
      </w:r>
      <w:proofErr w:type="spellEnd"/>
      <w:r w:rsidRPr="008F1E4C">
        <w:rPr>
          <w:rFonts w:ascii="Arial" w:eastAsia="Times New Roman" w:hAnsi="Arial" w:cs="Arial"/>
          <w:color w:val="252525"/>
          <w:sz w:val="28"/>
          <w:szCs w:val="28"/>
          <w:lang w:eastAsia="ru-RU"/>
        </w:rPr>
        <w:t xml:space="preserve"> мероприятий следует обратить внимание на усиление воспитательной работы в трудовых коллективах, общежитиях, на искоренение пьянства, аморального поведения женщин, провоцирующих неустойчивых лиц на ссоры и драки.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В условиях семейно-бытовых отношений очень важно обнаружить перерастание аморальных действий кого – либо из членов семьи в преступление или административное правонарушение. </w:t>
      </w:r>
      <w:proofErr w:type="gramStart"/>
      <w:r w:rsidRPr="008F1E4C">
        <w:rPr>
          <w:rFonts w:ascii="Arial" w:eastAsia="Times New Roman" w:hAnsi="Arial" w:cs="Arial"/>
          <w:color w:val="252525"/>
          <w:sz w:val="28"/>
          <w:szCs w:val="28"/>
          <w:lang w:eastAsia="ru-RU"/>
        </w:rPr>
        <w:t>Восприятие таких действий людьми весьма субъективно, т.е. для одних это может послужить поводом для немедленного обращения в полицию,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противоправного поведения (поскольку все происходит между родственниками), не желая наступления для виновных ответственности.</w:t>
      </w:r>
      <w:proofErr w:type="gramEnd"/>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В этом кроется одна из трудностей и сложностей в организации реагирования, ибо сотрудники полиции часто, к сожалению, узнают о конфликте в семье не в момент его возникновения, а в период уже развития или кульминации.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w:t>
      </w:r>
      <w:proofErr w:type="gramStart"/>
      <w:r w:rsidRPr="008F1E4C">
        <w:rPr>
          <w:rFonts w:ascii="Arial" w:eastAsia="Times New Roman" w:hAnsi="Arial" w:cs="Arial"/>
          <w:color w:val="252525"/>
          <w:sz w:val="28"/>
          <w:szCs w:val="28"/>
          <w:lang w:eastAsia="ru-RU"/>
        </w:rPr>
        <w:t>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жилищно-эксплуатационными организациями по установлению граждан, длительное время не оплачивающих коммунальные услуги, ведущих антиобщественный образ жизни, проведение выездных судебных заседаний по изоляции лиц, злоупотребляющих спиртными напитками, в</w:t>
      </w:r>
      <w:proofErr w:type="gramEnd"/>
      <w:r w:rsidRPr="008F1E4C">
        <w:rPr>
          <w:rFonts w:ascii="Arial" w:eastAsia="Times New Roman" w:hAnsi="Arial" w:cs="Arial"/>
          <w:color w:val="252525"/>
          <w:sz w:val="28"/>
          <w:szCs w:val="28"/>
          <w:lang w:eastAsia="ru-RU"/>
        </w:rPr>
        <w:t xml:space="preserve"> </w:t>
      </w:r>
      <w:proofErr w:type="gramStart"/>
      <w:r w:rsidRPr="008F1E4C">
        <w:rPr>
          <w:rFonts w:ascii="Arial" w:eastAsia="Times New Roman" w:hAnsi="Arial" w:cs="Arial"/>
          <w:color w:val="252525"/>
          <w:sz w:val="28"/>
          <w:szCs w:val="28"/>
          <w:lang w:eastAsia="ru-RU"/>
        </w:rPr>
        <w:t>условиях</w:t>
      </w:r>
      <w:proofErr w:type="gramEnd"/>
      <w:r w:rsidRPr="008F1E4C">
        <w:rPr>
          <w:rFonts w:ascii="Arial" w:eastAsia="Times New Roman" w:hAnsi="Arial" w:cs="Arial"/>
          <w:color w:val="252525"/>
          <w:sz w:val="28"/>
          <w:szCs w:val="28"/>
          <w:lang w:eastAsia="ru-RU"/>
        </w:rPr>
        <w:t xml:space="preserve">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 xml:space="preserve">Одна из важнейших задач – профилактика правонарушений в семейно-бытовой сфере. В этих целях с привлечением участковых инспекторов полиции, сотрудников инспекций по делам несовершеннолетних, психиатров-наркологов регулярно проводятся смотровые комиссии, совместные рейды по месту жительства </w:t>
      </w:r>
      <w:r w:rsidRPr="008F1E4C">
        <w:rPr>
          <w:rFonts w:ascii="Arial" w:eastAsia="Times New Roman" w:hAnsi="Arial" w:cs="Arial"/>
          <w:color w:val="252525"/>
          <w:sz w:val="28"/>
          <w:szCs w:val="28"/>
          <w:lang w:eastAsia="ru-RU"/>
        </w:rPr>
        <w:lastRenderedPageBreak/>
        <w:t xml:space="preserve">неблагополучных семей, в которых </w:t>
      </w:r>
      <w:proofErr w:type="gramStart"/>
      <w:r w:rsidRPr="008F1E4C">
        <w:rPr>
          <w:rFonts w:ascii="Arial" w:eastAsia="Times New Roman" w:hAnsi="Arial" w:cs="Arial"/>
          <w:color w:val="252525"/>
          <w:sz w:val="28"/>
          <w:szCs w:val="28"/>
          <w:lang w:eastAsia="ru-RU"/>
        </w:rPr>
        <w:t>родители-пьяницы</w:t>
      </w:r>
      <w:proofErr w:type="gramEnd"/>
      <w:r w:rsidRPr="008F1E4C">
        <w:rPr>
          <w:rFonts w:ascii="Arial" w:eastAsia="Times New Roman" w:hAnsi="Arial" w:cs="Arial"/>
          <w:color w:val="252525"/>
          <w:sz w:val="28"/>
          <w:szCs w:val="28"/>
          <w:lang w:eastAsia="ru-RU"/>
        </w:rPr>
        <w:t xml:space="preserve"> устраивают скандалы.</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Для принятия эффективных и своевременных мер по предупреждению насилия и нормализации обстановки в данных семьях и привлечения к этому всех заинтересованных проводится акция «Семья без насилия». В ее рамках рабочие группы (в состав которых входят работники полиции, органов образования, здравоохранения, труда и социальной защиты, культуры, средств массовой информации) выезжают на семейные скандалы, посещают неблагополучные семьи с целью принятия эффективных мер по предупреждению насилия и нормализации обстановки в этих семьях.</w:t>
      </w:r>
    </w:p>
    <w:p w:rsidR="008F1E4C" w:rsidRDefault="008F1E4C" w:rsidP="008F1E4C">
      <w:pPr>
        <w:shd w:val="clear" w:color="auto" w:fill="FFFFFF"/>
        <w:spacing w:after="0" w:line="240" w:lineRule="auto"/>
        <w:jc w:val="both"/>
        <w:rPr>
          <w:rFonts w:ascii="Arial" w:eastAsia="Times New Roman" w:hAnsi="Arial" w:cs="Arial"/>
          <w:color w:val="252525"/>
          <w:sz w:val="28"/>
          <w:szCs w:val="28"/>
          <w:lang w:eastAsia="ru-RU"/>
        </w:rPr>
      </w:pPr>
      <w:r w:rsidRPr="008F1E4C">
        <w:rPr>
          <w:rFonts w:ascii="Arial" w:eastAsia="Times New Roman" w:hAnsi="Arial" w:cs="Arial"/>
          <w:color w:val="252525"/>
          <w:sz w:val="28"/>
          <w:szCs w:val="28"/>
          <w:lang w:eastAsia="ru-RU"/>
        </w:rPr>
        <w:t>Каждый законопослушный гражданин должен уяснить, что те злоумышленники, которые незаконно реализуют алкоголь, преследуют только одну цель – это нажива. Их не волнует не Ваше здоровье, не то, какие трагические последствия могут наступить.</w:t>
      </w:r>
    </w:p>
    <w:p w:rsidR="00104881" w:rsidRPr="00B569BC" w:rsidRDefault="00104881" w:rsidP="00104881">
      <w:pPr>
        <w:shd w:val="clear" w:color="auto" w:fill="FFFFFF"/>
        <w:spacing w:after="15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Исходя из вышеизложенного важной частью работы по профилактике преступлений связанных с семейно-бытовым насилием, является работа общественных формирований при администрации сельского поселения, учреждений культуры, образования и здравоохранения. При администрации сельского поселения разработан план мероприятий по профилактике преступлений связанных с семейно-бытовым насилием.</w:t>
      </w:r>
    </w:p>
    <w:p w:rsidR="00104881" w:rsidRPr="008F1E4C" w:rsidRDefault="00104881" w:rsidP="008F1E4C">
      <w:pPr>
        <w:shd w:val="clear" w:color="auto" w:fill="FFFFFF"/>
        <w:spacing w:after="0" w:line="240" w:lineRule="auto"/>
        <w:jc w:val="both"/>
        <w:rPr>
          <w:rFonts w:ascii="Arial" w:eastAsia="Times New Roman" w:hAnsi="Arial" w:cs="Arial"/>
          <w:color w:val="252525"/>
          <w:sz w:val="21"/>
          <w:szCs w:val="21"/>
          <w:lang w:eastAsia="ru-RU"/>
        </w:rPr>
      </w:pPr>
    </w:p>
    <w:tbl>
      <w:tblPr>
        <w:tblpPr w:leftFromText="180" w:rightFromText="180" w:vertAnchor="text" w:horzAnchor="margin" w:tblpXSpec="center" w:tblpY="662"/>
        <w:tblW w:w="128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46"/>
        <w:gridCol w:w="8216"/>
        <w:gridCol w:w="4088"/>
      </w:tblGrid>
      <w:tr w:rsidR="00104881"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ind w:right="-135"/>
              <w:rPr>
                <w:rFonts w:ascii="Arial" w:eastAsia="Times New Roman" w:hAnsi="Arial" w:cs="Arial"/>
                <w:sz w:val="28"/>
                <w:szCs w:val="28"/>
                <w:lang w:eastAsia="ru-RU"/>
              </w:rPr>
            </w:pPr>
            <w:r w:rsidRPr="00B569BC">
              <w:rPr>
                <w:rFonts w:ascii="Arial" w:eastAsia="Times New Roman" w:hAnsi="Arial" w:cs="Arial"/>
                <w:sz w:val="28"/>
                <w:szCs w:val="28"/>
                <w:lang w:eastAsia="ru-RU"/>
              </w:rPr>
              <w:t xml:space="preserve">№ </w:t>
            </w:r>
            <w:proofErr w:type="spellStart"/>
            <w:r w:rsidRPr="00B569BC">
              <w:rPr>
                <w:rFonts w:ascii="Arial" w:eastAsia="Times New Roman" w:hAnsi="Arial" w:cs="Arial"/>
                <w:sz w:val="28"/>
                <w:szCs w:val="28"/>
                <w:lang w:eastAsia="ru-RU"/>
              </w:rPr>
              <w:t>пп</w:t>
            </w:r>
            <w:proofErr w:type="spellEnd"/>
          </w:p>
        </w:tc>
        <w:tc>
          <w:tcPr>
            <w:tcW w:w="82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Мероприятия</w:t>
            </w:r>
          </w:p>
        </w:tc>
        <w:tc>
          <w:tcPr>
            <w:tcW w:w="4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Время проведения</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1</w:t>
            </w:r>
          </w:p>
        </w:tc>
        <w:tc>
          <w:tcPr>
            <w:tcW w:w="82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Участие на заседаниях общественных формирований при администрации сельского поселения</w:t>
            </w:r>
          </w:p>
        </w:tc>
        <w:tc>
          <w:tcPr>
            <w:tcW w:w="4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2</w:t>
            </w:r>
          </w:p>
        </w:tc>
        <w:tc>
          <w:tcPr>
            <w:tcW w:w="82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Посещение семей «группы риска».</w:t>
            </w:r>
          </w:p>
        </w:tc>
        <w:tc>
          <w:tcPr>
            <w:tcW w:w="4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3</w:t>
            </w:r>
          </w:p>
        </w:tc>
        <w:tc>
          <w:tcPr>
            <w:tcW w:w="82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Ведение ежеквартального мониторинга по выявлению случаев жестокого обращения</w:t>
            </w:r>
          </w:p>
        </w:tc>
        <w:tc>
          <w:tcPr>
            <w:tcW w:w="4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4</w:t>
            </w:r>
          </w:p>
        </w:tc>
        <w:tc>
          <w:tcPr>
            <w:tcW w:w="82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Проведение внеплановых проверок условий жизни детей, находящихся в приемных семьях и семьях стоящих на профилактическом учете по факторам неблагополучия</w:t>
            </w:r>
          </w:p>
        </w:tc>
        <w:tc>
          <w:tcPr>
            <w:tcW w:w="4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lastRenderedPageBreak/>
              <w:t>5</w:t>
            </w:r>
          </w:p>
        </w:tc>
        <w:tc>
          <w:tcPr>
            <w:tcW w:w="82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Консультативная помощь родителям в трудной жизненной ситуации</w:t>
            </w:r>
          </w:p>
        </w:tc>
        <w:tc>
          <w:tcPr>
            <w:tcW w:w="408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По мере необходимости</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6</w:t>
            </w:r>
          </w:p>
        </w:tc>
        <w:tc>
          <w:tcPr>
            <w:tcW w:w="82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Выпуск и распространение буклетов и памяток по жестокому обращению с мерами ответственности для родителей или лиц их замещающих</w:t>
            </w:r>
          </w:p>
        </w:tc>
        <w:tc>
          <w:tcPr>
            <w:tcW w:w="4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7</w:t>
            </w:r>
          </w:p>
        </w:tc>
        <w:tc>
          <w:tcPr>
            <w:tcW w:w="821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Размещение информации по профилактике жестокого обращения на информационных стендах и на сайте сельского поселения</w:t>
            </w:r>
          </w:p>
        </w:tc>
        <w:tc>
          <w:tcPr>
            <w:tcW w:w="408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8</w:t>
            </w:r>
          </w:p>
        </w:tc>
        <w:tc>
          <w:tcPr>
            <w:tcW w:w="821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Оформление стендов по профилактике семейно-бытового насилия</w:t>
            </w:r>
          </w:p>
        </w:tc>
        <w:tc>
          <w:tcPr>
            <w:tcW w:w="40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В течение года</w:t>
            </w:r>
          </w:p>
        </w:tc>
      </w:tr>
      <w:tr w:rsidR="00B569BC" w:rsidRPr="00B569BC" w:rsidTr="00104881">
        <w:tc>
          <w:tcPr>
            <w:tcW w:w="5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9</w:t>
            </w:r>
          </w:p>
        </w:tc>
        <w:tc>
          <w:tcPr>
            <w:tcW w:w="821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569BC" w:rsidRPr="00B569BC" w:rsidRDefault="00B569BC" w:rsidP="00B569BC">
            <w:pPr>
              <w:spacing w:after="300" w:line="240" w:lineRule="auto"/>
              <w:rPr>
                <w:rFonts w:ascii="Arial" w:eastAsia="Times New Roman" w:hAnsi="Arial" w:cs="Arial"/>
                <w:sz w:val="28"/>
                <w:szCs w:val="28"/>
                <w:lang w:eastAsia="ru-RU"/>
              </w:rPr>
            </w:pPr>
            <w:r w:rsidRPr="00B569BC">
              <w:rPr>
                <w:rFonts w:ascii="Arial" w:eastAsia="Times New Roman" w:hAnsi="Arial" w:cs="Arial"/>
                <w:sz w:val="28"/>
                <w:szCs w:val="28"/>
                <w:lang w:eastAsia="ru-RU"/>
              </w:rPr>
              <w:t xml:space="preserve">Психология </w:t>
            </w:r>
            <w:proofErr w:type="spellStart"/>
            <w:r w:rsidRPr="00B569BC">
              <w:rPr>
                <w:rFonts w:ascii="Arial" w:eastAsia="Times New Roman" w:hAnsi="Arial" w:cs="Arial"/>
                <w:sz w:val="28"/>
                <w:szCs w:val="28"/>
                <w:lang w:eastAsia="ru-RU"/>
              </w:rPr>
              <w:t>детско</w:t>
            </w:r>
            <w:proofErr w:type="spellEnd"/>
            <w:r w:rsidRPr="00B569BC">
              <w:rPr>
                <w:rFonts w:ascii="Arial" w:eastAsia="Times New Roman" w:hAnsi="Arial" w:cs="Arial"/>
                <w:sz w:val="28"/>
                <w:szCs w:val="28"/>
                <w:lang w:eastAsia="ru-RU"/>
              </w:rPr>
              <w:t>–родительских отношений» беседа с родителями из семей стоящих на профилактическом учете</w:t>
            </w:r>
          </w:p>
        </w:tc>
        <w:tc>
          <w:tcPr>
            <w:tcW w:w="4088" w:type="dxa"/>
            <w:shd w:val="clear" w:color="auto" w:fill="FFFFFF"/>
            <w:vAlign w:val="center"/>
            <w:hideMark/>
          </w:tcPr>
          <w:p w:rsidR="00B569BC" w:rsidRPr="00B569BC" w:rsidRDefault="00B569BC" w:rsidP="00B569BC">
            <w:pPr>
              <w:spacing w:after="0" w:line="240" w:lineRule="auto"/>
              <w:rPr>
                <w:rFonts w:ascii="Times New Roman" w:eastAsia="Times New Roman" w:hAnsi="Times New Roman" w:cs="Times New Roman"/>
                <w:sz w:val="28"/>
                <w:szCs w:val="28"/>
                <w:lang w:eastAsia="ru-RU"/>
              </w:rPr>
            </w:pPr>
          </w:p>
        </w:tc>
      </w:tr>
    </w:tbl>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w:t>
      </w:r>
    </w:p>
    <w:p w:rsidR="008F1E4C" w:rsidRPr="008F1E4C" w:rsidRDefault="008F1E4C" w:rsidP="008F1E4C">
      <w:pPr>
        <w:shd w:val="clear" w:color="auto" w:fill="FFFFFF"/>
        <w:spacing w:after="0" w:line="240" w:lineRule="auto"/>
        <w:jc w:val="both"/>
        <w:rPr>
          <w:rFonts w:ascii="Arial" w:eastAsia="Times New Roman" w:hAnsi="Arial" w:cs="Arial"/>
          <w:color w:val="252525"/>
          <w:sz w:val="21"/>
          <w:szCs w:val="21"/>
          <w:lang w:eastAsia="ru-RU"/>
        </w:rPr>
      </w:pPr>
      <w:r w:rsidRPr="008F1E4C">
        <w:rPr>
          <w:rFonts w:ascii="Arial" w:eastAsia="Times New Roman" w:hAnsi="Arial" w:cs="Arial"/>
          <w:color w:val="252525"/>
          <w:sz w:val="28"/>
          <w:szCs w:val="28"/>
          <w:lang w:eastAsia="ru-RU"/>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8F1E4C" w:rsidRPr="00B569BC" w:rsidRDefault="008F1E4C" w:rsidP="00B569BC">
      <w:pPr>
        <w:pStyle w:val="a3"/>
        <w:shd w:val="clear" w:color="auto" w:fill="FFFFFF"/>
        <w:spacing w:before="150" w:beforeAutospacing="0" w:after="0" w:afterAutospacing="0"/>
        <w:rPr>
          <w:rFonts w:ascii="Arial" w:hAnsi="Arial" w:cs="Arial"/>
          <w:sz w:val="28"/>
          <w:szCs w:val="28"/>
        </w:rPr>
      </w:pPr>
    </w:p>
    <w:p w:rsidR="008F1E4C" w:rsidRPr="00B569BC" w:rsidRDefault="008F1E4C" w:rsidP="008F1E4C">
      <w:pPr>
        <w:rPr>
          <w:sz w:val="28"/>
          <w:szCs w:val="28"/>
        </w:rPr>
      </w:pPr>
    </w:p>
    <w:sectPr w:rsidR="008F1E4C" w:rsidRPr="00B569BC" w:rsidSect="008F1E4C">
      <w:type w:val="continuous"/>
      <w:pgSz w:w="11907" w:h="16839" w:code="9"/>
      <w:pgMar w:top="1134" w:right="850" w:bottom="1134" w:left="1701" w:header="720" w:footer="80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74C42"/>
    <w:multiLevelType w:val="multilevel"/>
    <w:tmpl w:val="A42A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C"/>
    <w:rsid w:val="000B6F5D"/>
    <w:rsid w:val="00104881"/>
    <w:rsid w:val="003751C9"/>
    <w:rsid w:val="008F1E4C"/>
    <w:rsid w:val="00B569BC"/>
    <w:rsid w:val="00DD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8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F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E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8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F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7238">
      <w:bodyDiv w:val="1"/>
      <w:marLeft w:val="0"/>
      <w:marRight w:val="0"/>
      <w:marTop w:val="0"/>
      <w:marBottom w:val="0"/>
      <w:divBdr>
        <w:top w:val="none" w:sz="0" w:space="0" w:color="auto"/>
        <w:left w:val="none" w:sz="0" w:space="0" w:color="auto"/>
        <w:bottom w:val="none" w:sz="0" w:space="0" w:color="auto"/>
        <w:right w:val="none" w:sz="0" w:space="0" w:color="auto"/>
      </w:divBdr>
    </w:div>
    <w:div w:id="681668138">
      <w:bodyDiv w:val="1"/>
      <w:marLeft w:val="0"/>
      <w:marRight w:val="0"/>
      <w:marTop w:val="0"/>
      <w:marBottom w:val="0"/>
      <w:divBdr>
        <w:top w:val="none" w:sz="0" w:space="0" w:color="auto"/>
        <w:left w:val="none" w:sz="0" w:space="0" w:color="auto"/>
        <w:bottom w:val="none" w:sz="0" w:space="0" w:color="auto"/>
        <w:right w:val="none" w:sz="0" w:space="0" w:color="auto"/>
      </w:divBdr>
    </w:div>
    <w:div w:id="14880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2024-11-25T11:47:00Z</dcterms:created>
  <dcterms:modified xsi:type="dcterms:W3CDTF">2024-11-26T09:46:00Z</dcterms:modified>
</cp:coreProperties>
</file>